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08A" w:rsidRPr="002B5AA1" w:rsidRDefault="001B47F9" w:rsidP="002B5AA1">
      <w:pPr>
        <w:ind w:left="-1260"/>
      </w:pPr>
      <w:r w:rsidRPr="001B47F9">
        <w:rPr>
          <w:noProof/>
          <w:lang w:val="ru-RU" w:eastAsia="ru-RU"/>
        </w:rPr>
        <w:drawing>
          <wp:inline distT="0" distB="0" distL="0" distR="0">
            <wp:extent cx="7505700" cy="5953125"/>
            <wp:effectExtent l="0" t="0" r="0" b="9525"/>
            <wp:docPr id="2" name="Diagram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  <w:bookmarkStart w:id="0" w:name="_GoBack"/>
      <w:bookmarkEnd w:id="0"/>
      <w:r w:rsidR="00A8408A">
        <w:tab/>
      </w:r>
      <w:r w:rsidR="00A8408A">
        <w:rPr>
          <w:rFonts w:ascii="AcadNusx" w:hAnsi="AcadNusx"/>
          <w:b/>
          <w:i/>
          <w:color w:val="000000" w:themeColor="text1"/>
          <w:sz w:val="18"/>
          <w:szCs w:val="18"/>
        </w:rPr>
        <w:t xml:space="preserve"> </w:t>
      </w:r>
    </w:p>
    <w:p w:rsidR="00975567" w:rsidRDefault="00664C97" w:rsidP="00A8408A">
      <w:pPr>
        <w:tabs>
          <w:tab w:val="left" w:pos="2738"/>
        </w:tabs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</w:t>
      </w:r>
    </w:p>
    <w:sectPr w:rsidR="00975567" w:rsidSect="005B081E">
      <w:headerReference w:type="default" r:id="rId13"/>
      <w:pgSz w:w="12240" w:h="15840"/>
      <w:pgMar w:top="1530" w:right="360" w:bottom="27" w:left="1440" w:header="90" w:footer="5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067" w:rsidRDefault="00860067" w:rsidP="00F92800">
      <w:pPr>
        <w:spacing w:after="0" w:line="240" w:lineRule="auto"/>
      </w:pPr>
      <w:r>
        <w:separator/>
      </w:r>
    </w:p>
  </w:endnote>
  <w:endnote w:type="continuationSeparator" w:id="0">
    <w:p w:rsidR="00860067" w:rsidRDefault="00860067" w:rsidP="00F92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067" w:rsidRDefault="00860067" w:rsidP="00F92800">
      <w:pPr>
        <w:spacing w:after="0" w:line="240" w:lineRule="auto"/>
      </w:pPr>
      <w:r>
        <w:separator/>
      </w:r>
    </w:p>
  </w:footnote>
  <w:footnote w:type="continuationSeparator" w:id="0">
    <w:p w:rsidR="00860067" w:rsidRDefault="00860067" w:rsidP="00F928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6C4" w:rsidRDefault="00F356C4" w:rsidP="001B47F9">
    <w:pPr>
      <w:pStyle w:val="a5"/>
      <w:jc w:val="center"/>
      <w:rPr>
        <w:rFonts w:ascii="Sylfaen" w:hAnsi="Sylfaen"/>
        <w:b/>
        <w:sz w:val="26"/>
        <w:szCs w:val="26"/>
        <w:lang w:val="ka-GE"/>
      </w:rPr>
    </w:pPr>
  </w:p>
  <w:p w:rsidR="00D11432" w:rsidRDefault="00D11432" w:rsidP="001B47F9">
    <w:pPr>
      <w:pStyle w:val="a5"/>
      <w:jc w:val="center"/>
      <w:rPr>
        <w:rFonts w:ascii="Sylfaen" w:hAnsi="Sylfaen"/>
        <w:b/>
        <w:sz w:val="26"/>
        <w:szCs w:val="26"/>
        <w:lang w:val="ka-GE"/>
      </w:rPr>
    </w:pPr>
  </w:p>
  <w:p w:rsidR="005B081E" w:rsidRPr="00A168BD" w:rsidRDefault="000A7667" w:rsidP="001B47F9">
    <w:pPr>
      <w:pStyle w:val="a5"/>
      <w:jc w:val="center"/>
      <w:rPr>
        <w:rFonts w:ascii="Sylfaen" w:hAnsi="Sylfaen"/>
        <w:b/>
        <w:sz w:val="26"/>
        <w:szCs w:val="26"/>
      </w:rPr>
    </w:pPr>
    <w:r>
      <w:rPr>
        <w:rFonts w:ascii="Sylfaen" w:hAnsi="Sylfaen"/>
        <w:b/>
        <w:sz w:val="26"/>
        <w:szCs w:val="26"/>
        <w:lang w:val="ka-GE"/>
      </w:rPr>
      <w:t>გამოქვითვები ერთობლივი შემოსავალიდან 0221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800"/>
    <w:rsid w:val="00000F3F"/>
    <w:rsid w:val="00022B67"/>
    <w:rsid w:val="0002558E"/>
    <w:rsid w:val="000622A9"/>
    <w:rsid w:val="000648AD"/>
    <w:rsid w:val="00067F27"/>
    <w:rsid w:val="0007026C"/>
    <w:rsid w:val="000A7667"/>
    <w:rsid w:val="000A7C1E"/>
    <w:rsid w:val="000B66A4"/>
    <w:rsid w:val="000C567D"/>
    <w:rsid w:val="000D481A"/>
    <w:rsid w:val="000D6E3F"/>
    <w:rsid w:val="000E1460"/>
    <w:rsid w:val="000F175E"/>
    <w:rsid w:val="000F4CD0"/>
    <w:rsid w:val="00105ACF"/>
    <w:rsid w:val="00117DDB"/>
    <w:rsid w:val="001206FF"/>
    <w:rsid w:val="0012104E"/>
    <w:rsid w:val="00122098"/>
    <w:rsid w:val="00126FB3"/>
    <w:rsid w:val="0012755A"/>
    <w:rsid w:val="001339B7"/>
    <w:rsid w:val="0014485E"/>
    <w:rsid w:val="00150FC3"/>
    <w:rsid w:val="00156382"/>
    <w:rsid w:val="00160DD6"/>
    <w:rsid w:val="0016343F"/>
    <w:rsid w:val="0016544F"/>
    <w:rsid w:val="0018363B"/>
    <w:rsid w:val="00187D07"/>
    <w:rsid w:val="001B47F9"/>
    <w:rsid w:val="001C4629"/>
    <w:rsid w:val="001D0DE3"/>
    <w:rsid w:val="001E6766"/>
    <w:rsid w:val="001F311F"/>
    <w:rsid w:val="0020605F"/>
    <w:rsid w:val="00211652"/>
    <w:rsid w:val="00216FEE"/>
    <w:rsid w:val="0022319E"/>
    <w:rsid w:val="00223975"/>
    <w:rsid w:val="002435B3"/>
    <w:rsid w:val="002446D0"/>
    <w:rsid w:val="00254A4D"/>
    <w:rsid w:val="002600D7"/>
    <w:rsid w:val="002618B6"/>
    <w:rsid w:val="00282AC3"/>
    <w:rsid w:val="00283303"/>
    <w:rsid w:val="00286AB9"/>
    <w:rsid w:val="0029165A"/>
    <w:rsid w:val="00293BC3"/>
    <w:rsid w:val="00297BFD"/>
    <w:rsid w:val="002B5AA1"/>
    <w:rsid w:val="002D5A71"/>
    <w:rsid w:val="002E12C1"/>
    <w:rsid w:val="002F6E84"/>
    <w:rsid w:val="00301B36"/>
    <w:rsid w:val="0031122A"/>
    <w:rsid w:val="00313CBA"/>
    <w:rsid w:val="00315F63"/>
    <w:rsid w:val="00325688"/>
    <w:rsid w:val="00327EC0"/>
    <w:rsid w:val="003365F8"/>
    <w:rsid w:val="00336D6F"/>
    <w:rsid w:val="00337CA7"/>
    <w:rsid w:val="00340636"/>
    <w:rsid w:val="003604D7"/>
    <w:rsid w:val="0036212E"/>
    <w:rsid w:val="00376A1A"/>
    <w:rsid w:val="00384E72"/>
    <w:rsid w:val="003B0BC3"/>
    <w:rsid w:val="003B1D3F"/>
    <w:rsid w:val="003B79AA"/>
    <w:rsid w:val="003C5826"/>
    <w:rsid w:val="003D56E5"/>
    <w:rsid w:val="003E1501"/>
    <w:rsid w:val="003F1607"/>
    <w:rsid w:val="003F2C7A"/>
    <w:rsid w:val="003F5254"/>
    <w:rsid w:val="003F76C5"/>
    <w:rsid w:val="00410AF4"/>
    <w:rsid w:val="004137C9"/>
    <w:rsid w:val="0042626F"/>
    <w:rsid w:val="00443688"/>
    <w:rsid w:val="0046265F"/>
    <w:rsid w:val="00462F4D"/>
    <w:rsid w:val="00477EB3"/>
    <w:rsid w:val="004864BC"/>
    <w:rsid w:val="00486C80"/>
    <w:rsid w:val="004913E2"/>
    <w:rsid w:val="0049604D"/>
    <w:rsid w:val="004B1A81"/>
    <w:rsid w:val="00506857"/>
    <w:rsid w:val="00521AFF"/>
    <w:rsid w:val="00522B27"/>
    <w:rsid w:val="00540233"/>
    <w:rsid w:val="005519E7"/>
    <w:rsid w:val="00553614"/>
    <w:rsid w:val="00555A56"/>
    <w:rsid w:val="00562C8E"/>
    <w:rsid w:val="00577107"/>
    <w:rsid w:val="0058473B"/>
    <w:rsid w:val="005A3014"/>
    <w:rsid w:val="005B081E"/>
    <w:rsid w:val="005B15F4"/>
    <w:rsid w:val="005D17C4"/>
    <w:rsid w:val="005D373C"/>
    <w:rsid w:val="005D3947"/>
    <w:rsid w:val="005D3C2D"/>
    <w:rsid w:val="00600020"/>
    <w:rsid w:val="00602386"/>
    <w:rsid w:val="00605657"/>
    <w:rsid w:val="00606D4F"/>
    <w:rsid w:val="006132D2"/>
    <w:rsid w:val="006139EA"/>
    <w:rsid w:val="00616699"/>
    <w:rsid w:val="006212CD"/>
    <w:rsid w:val="00621A7A"/>
    <w:rsid w:val="00621AE3"/>
    <w:rsid w:val="006373DA"/>
    <w:rsid w:val="006420AE"/>
    <w:rsid w:val="00660185"/>
    <w:rsid w:val="00664C97"/>
    <w:rsid w:val="00673C16"/>
    <w:rsid w:val="00674138"/>
    <w:rsid w:val="00682EC9"/>
    <w:rsid w:val="00684158"/>
    <w:rsid w:val="0068428A"/>
    <w:rsid w:val="00694DAA"/>
    <w:rsid w:val="006B3A7A"/>
    <w:rsid w:val="006B4BA0"/>
    <w:rsid w:val="006C61E9"/>
    <w:rsid w:val="006C7C44"/>
    <w:rsid w:val="006E248D"/>
    <w:rsid w:val="006F7ECF"/>
    <w:rsid w:val="00702314"/>
    <w:rsid w:val="00704A32"/>
    <w:rsid w:val="007053C7"/>
    <w:rsid w:val="0071700E"/>
    <w:rsid w:val="00735020"/>
    <w:rsid w:val="00737D44"/>
    <w:rsid w:val="007429EC"/>
    <w:rsid w:val="00742D76"/>
    <w:rsid w:val="007432AD"/>
    <w:rsid w:val="00755EA4"/>
    <w:rsid w:val="00760BCB"/>
    <w:rsid w:val="0076561D"/>
    <w:rsid w:val="00767220"/>
    <w:rsid w:val="00771BC6"/>
    <w:rsid w:val="00771D1E"/>
    <w:rsid w:val="00773169"/>
    <w:rsid w:val="0077568F"/>
    <w:rsid w:val="00777031"/>
    <w:rsid w:val="0077724D"/>
    <w:rsid w:val="0078613C"/>
    <w:rsid w:val="00790AD7"/>
    <w:rsid w:val="00796847"/>
    <w:rsid w:val="007B370E"/>
    <w:rsid w:val="007B3A1B"/>
    <w:rsid w:val="007B5B7E"/>
    <w:rsid w:val="007C3924"/>
    <w:rsid w:val="007F0614"/>
    <w:rsid w:val="007F16E5"/>
    <w:rsid w:val="007F2D01"/>
    <w:rsid w:val="007F6292"/>
    <w:rsid w:val="00804DA2"/>
    <w:rsid w:val="008162E2"/>
    <w:rsid w:val="008243AF"/>
    <w:rsid w:val="00842228"/>
    <w:rsid w:val="00845BBA"/>
    <w:rsid w:val="00854DDA"/>
    <w:rsid w:val="00860067"/>
    <w:rsid w:val="00862BC7"/>
    <w:rsid w:val="00881C41"/>
    <w:rsid w:val="00893650"/>
    <w:rsid w:val="00896E5E"/>
    <w:rsid w:val="00896FBE"/>
    <w:rsid w:val="008A64B0"/>
    <w:rsid w:val="008B20F0"/>
    <w:rsid w:val="008B6C18"/>
    <w:rsid w:val="008C6337"/>
    <w:rsid w:val="008D0D22"/>
    <w:rsid w:val="008D41AF"/>
    <w:rsid w:val="008D52B3"/>
    <w:rsid w:val="00914044"/>
    <w:rsid w:val="0093161F"/>
    <w:rsid w:val="00950B41"/>
    <w:rsid w:val="0095282C"/>
    <w:rsid w:val="00953B4C"/>
    <w:rsid w:val="00953CC5"/>
    <w:rsid w:val="00957D64"/>
    <w:rsid w:val="009639E8"/>
    <w:rsid w:val="0096486E"/>
    <w:rsid w:val="00975567"/>
    <w:rsid w:val="00993963"/>
    <w:rsid w:val="009A26C0"/>
    <w:rsid w:val="009B049E"/>
    <w:rsid w:val="009B39D6"/>
    <w:rsid w:val="009E6A2D"/>
    <w:rsid w:val="009E7494"/>
    <w:rsid w:val="00A167C0"/>
    <w:rsid w:val="00A168BD"/>
    <w:rsid w:val="00A64B1D"/>
    <w:rsid w:val="00A65210"/>
    <w:rsid w:val="00A8408A"/>
    <w:rsid w:val="00AA5E93"/>
    <w:rsid w:val="00AC698E"/>
    <w:rsid w:val="00AD5670"/>
    <w:rsid w:val="00AE5F1A"/>
    <w:rsid w:val="00AF7E2B"/>
    <w:rsid w:val="00B0402D"/>
    <w:rsid w:val="00B15FFE"/>
    <w:rsid w:val="00B22880"/>
    <w:rsid w:val="00B3488B"/>
    <w:rsid w:val="00B36F73"/>
    <w:rsid w:val="00B37A99"/>
    <w:rsid w:val="00B56E57"/>
    <w:rsid w:val="00B91EAA"/>
    <w:rsid w:val="00BA682D"/>
    <w:rsid w:val="00BC3391"/>
    <w:rsid w:val="00BC407B"/>
    <w:rsid w:val="00BD5B31"/>
    <w:rsid w:val="00BE2185"/>
    <w:rsid w:val="00BE3393"/>
    <w:rsid w:val="00BE4D7D"/>
    <w:rsid w:val="00BE4FB0"/>
    <w:rsid w:val="00BE65CB"/>
    <w:rsid w:val="00C25317"/>
    <w:rsid w:val="00C340E0"/>
    <w:rsid w:val="00C43CAA"/>
    <w:rsid w:val="00C44B02"/>
    <w:rsid w:val="00C56BAC"/>
    <w:rsid w:val="00C573ED"/>
    <w:rsid w:val="00C8087A"/>
    <w:rsid w:val="00C84CE3"/>
    <w:rsid w:val="00CA4EE9"/>
    <w:rsid w:val="00CC3805"/>
    <w:rsid w:val="00D028B8"/>
    <w:rsid w:val="00D06AA6"/>
    <w:rsid w:val="00D10240"/>
    <w:rsid w:val="00D11432"/>
    <w:rsid w:val="00D12791"/>
    <w:rsid w:val="00D158DC"/>
    <w:rsid w:val="00D33FAE"/>
    <w:rsid w:val="00D359B1"/>
    <w:rsid w:val="00D3761D"/>
    <w:rsid w:val="00D41BF1"/>
    <w:rsid w:val="00D52211"/>
    <w:rsid w:val="00D53A7E"/>
    <w:rsid w:val="00D713C3"/>
    <w:rsid w:val="00D849AF"/>
    <w:rsid w:val="00DA15CB"/>
    <w:rsid w:val="00DB38C5"/>
    <w:rsid w:val="00DB7BDB"/>
    <w:rsid w:val="00DE0F11"/>
    <w:rsid w:val="00E22B2B"/>
    <w:rsid w:val="00E32258"/>
    <w:rsid w:val="00E339CA"/>
    <w:rsid w:val="00E45054"/>
    <w:rsid w:val="00E55ED1"/>
    <w:rsid w:val="00E62775"/>
    <w:rsid w:val="00E911D3"/>
    <w:rsid w:val="00E9351D"/>
    <w:rsid w:val="00E97C21"/>
    <w:rsid w:val="00EB31ED"/>
    <w:rsid w:val="00EB51AE"/>
    <w:rsid w:val="00EC55F1"/>
    <w:rsid w:val="00EE36B1"/>
    <w:rsid w:val="00EE6315"/>
    <w:rsid w:val="00EF3C3A"/>
    <w:rsid w:val="00F10EA5"/>
    <w:rsid w:val="00F12ECF"/>
    <w:rsid w:val="00F22477"/>
    <w:rsid w:val="00F356C4"/>
    <w:rsid w:val="00F362CC"/>
    <w:rsid w:val="00F37010"/>
    <w:rsid w:val="00F4710F"/>
    <w:rsid w:val="00F47486"/>
    <w:rsid w:val="00F5323D"/>
    <w:rsid w:val="00F55D35"/>
    <w:rsid w:val="00F64EC7"/>
    <w:rsid w:val="00F71B68"/>
    <w:rsid w:val="00F72240"/>
    <w:rsid w:val="00F82E31"/>
    <w:rsid w:val="00F92800"/>
    <w:rsid w:val="00F92C0E"/>
    <w:rsid w:val="00F93C4F"/>
    <w:rsid w:val="00FB68D5"/>
    <w:rsid w:val="00FC1E94"/>
    <w:rsid w:val="00FC67D3"/>
    <w:rsid w:val="00FD12C5"/>
    <w:rsid w:val="00FD3A66"/>
    <w:rsid w:val="00FE0B5B"/>
    <w:rsid w:val="00FE7B27"/>
    <w:rsid w:val="00FF2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2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280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928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92800"/>
  </w:style>
  <w:style w:type="paragraph" w:styleId="a7">
    <w:name w:val="footer"/>
    <w:basedOn w:val="a"/>
    <w:link w:val="a8"/>
    <w:uiPriority w:val="99"/>
    <w:unhideWhenUsed/>
    <w:rsid w:val="00F928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928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2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280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928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92800"/>
  </w:style>
  <w:style w:type="paragraph" w:styleId="a7">
    <w:name w:val="footer"/>
    <w:basedOn w:val="a"/>
    <w:link w:val="a8"/>
    <w:uiPriority w:val="99"/>
    <w:unhideWhenUsed/>
    <w:rsid w:val="00F928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928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1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F2C8C0F-097D-4DC9-9C67-E8D19F634135}" type="doc">
      <dgm:prSet loTypeId="urn:microsoft.com/office/officeart/2005/8/layout/hierarchy3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6EDDC9A4-7743-45A1-A47F-DDC8AA334378}">
      <dgm:prSet phldrT="[Text]" custT="1"/>
      <dgm:spPr>
        <a:solidFill>
          <a:schemeClr val="accent6">
            <a:lumMod val="75000"/>
          </a:schemeClr>
        </a:solidFill>
      </dgm:spPr>
      <dgm:t>
        <a:bodyPr/>
        <a:lstStyle/>
        <a:p>
          <a:r>
            <a:rPr lang="ka-GE" sz="1200" b="1">
              <a:latin typeface="Sylfaen" pitchFamily="18" charset="0"/>
            </a:rPr>
            <a:t>ფაქტობრივი გარემოებები</a:t>
          </a:r>
          <a:endParaRPr lang="en-US" sz="1200" b="1">
            <a:latin typeface="Sylfaen" pitchFamily="18" charset="0"/>
          </a:endParaRPr>
        </a:p>
      </dgm:t>
    </dgm:pt>
    <dgm:pt modelId="{3A48E9A3-A638-4BBF-9C68-D8F4933C7E36}" type="parTrans" cxnId="{D2427F20-B0E2-435A-87EE-9CF9178695AB}">
      <dgm:prSet/>
      <dgm:spPr/>
      <dgm:t>
        <a:bodyPr/>
        <a:lstStyle/>
        <a:p>
          <a:endParaRPr lang="en-US" b="1"/>
        </a:p>
      </dgm:t>
    </dgm:pt>
    <dgm:pt modelId="{D05AD119-BE24-43D7-9E4E-8F0C25949A32}" type="sibTrans" cxnId="{D2427F20-B0E2-435A-87EE-9CF9178695AB}">
      <dgm:prSet/>
      <dgm:spPr/>
      <dgm:t>
        <a:bodyPr/>
        <a:lstStyle/>
        <a:p>
          <a:endParaRPr lang="en-US" b="1"/>
        </a:p>
      </dgm:t>
    </dgm:pt>
    <dgm:pt modelId="{0864151C-55A8-4402-A51E-35DDE1DCFDCF}">
      <dgm:prSet phldrT="[Text]" custT="1"/>
      <dgm:spPr>
        <a:solidFill>
          <a:schemeClr val="accent6">
            <a:lumMod val="75000"/>
          </a:schemeClr>
        </a:solidFill>
      </dgm:spPr>
      <dgm:t>
        <a:bodyPr/>
        <a:lstStyle/>
        <a:p>
          <a:r>
            <a:rPr lang="ka-GE" sz="1200" b="1">
              <a:latin typeface="Sylfaen" pitchFamily="18" charset="0"/>
            </a:rPr>
            <a:t>შეფასება</a:t>
          </a:r>
          <a:endParaRPr lang="en-US" sz="1200" b="1">
            <a:latin typeface="Sylfaen" pitchFamily="18" charset="0"/>
          </a:endParaRPr>
        </a:p>
      </dgm:t>
    </dgm:pt>
    <dgm:pt modelId="{F7BDD5F8-65A4-4108-AE7C-CFA0F4388FB8}" type="parTrans" cxnId="{03607AEF-07AD-4BDB-A89D-B209BC79EF53}">
      <dgm:prSet/>
      <dgm:spPr/>
      <dgm:t>
        <a:bodyPr/>
        <a:lstStyle/>
        <a:p>
          <a:endParaRPr lang="en-US" b="1"/>
        </a:p>
      </dgm:t>
    </dgm:pt>
    <dgm:pt modelId="{0A05DBC0-5F35-4A5D-A28B-267431B26F59}" type="sibTrans" cxnId="{03607AEF-07AD-4BDB-A89D-B209BC79EF53}">
      <dgm:prSet/>
      <dgm:spPr/>
      <dgm:t>
        <a:bodyPr/>
        <a:lstStyle/>
        <a:p>
          <a:endParaRPr lang="en-US" b="1"/>
        </a:p>
      </dgm:t>
    </dgm:pt>
    <dgm:pt modelId="{E40EDAB5-D188-4812-A61A-95A9AC19C0AE}">
      <dgm:prSet custT="1"/>
      <dgm:spPr>
        <a:solidFill>
          <a:schemeClr val="accent6">
            <a:lumMod val="75000"/>
          </a:schemeClr>
        </a:solidFill>
      </dgm:spPr>
      <dgm:t>
        <a:bodyPr/>
        <a:lstStyle/>
        <a:p>
          <a:r>
            <a:rPr lang="ka-GE" sz="1200" b="1">
              <a:latin typeface="Sylfaen" pitchFamily="18" charset="0"/>
            </a:rPr>
            <a:t>ღონისძიებები</a:t>
          </a:r>
          <a:endParaRPr lang="en-US" sz="1200" b="1">
            <a:latin typeface="Sylfaen" pitchFamily="18" charset="0"/>
          </a:endParaRPr>
        </a:p>
      </dgm:t>
    </dgm:pt>
    <dgm:pt modelId="{FAE3ACFB-230C-407E-8CBC-952817FA18AA}" type="parTrans" cxnId="{7A73B562-EACC-4904-8BB8-3FDFE7398C28}">
      <dgm:prSet/>
      <dgm:spPr/>
      <dgm:t>
        <a:bodyPr/>
        <a:lstStyle/>
        <a:p>
          <a:endParaRPr lang="en-US" b="1"/>
        </a:p>
      </dgm:t>
    </dgm:pt>
    <dgm:pt modelId="{342C2EFC-EB00-410F-82E6-57D5275D470B}" type="sibTrans" cxnId="{7A73B562-EACC-4904-8BB8-3FDFE7398C28}">
      <dgm:prSet/>
      <dgm:spPr/>
      <dgm:t>
        <a:bodyPr/>
        <a:lstStyle/>
        <a:p>
          <a:endParaRPr lang="en-US" b="1"/>
        </a:p>
      </dgm:t>
    </dgm:pt>
    <dgm:pt modelId="{EC4D90D5-A3B7-4A12-88DA-77AA7E9A9696}">
      <dgm:prSet custT="1"/>
      <dgm:spPr/>
      <dgm:t>
        <a:bodyPr/>
        <a:lstStyle/>
        <a:p>
          <a:r>
            <a:rPr lang="ka-GE" sz="1100" b="0">
              <a:latin typeface="Sylfaen" pitchFamily="18" charset="0"/>
            </a:rPr>
            <a:t>საწარმოს მიერ ერთობლივი შემოსავლიდან გამოსაქვით ხარჯებში ჩართულია ქონების გადასახადში დარიცხული მიმდინარე გადასახდელები</a:t>
          </a:r>
          <a:endParaRPr lang="en-US" sz="1100" b="0">
            <a:latin typeface="Sylfaen" pitchFamily="18" charset="0"/>
          </a:endParaRPr>
        </a:p>
      </dgm:t>
    </dgm:pt>
    <dgm:pt modelId="{02B9985B-7F57-43D5-A167-ED9248916466}" type="parTrans" cxnId="{CC61CAD8-20F9-4D1B-8F00-82CF26AF7D3E}">
      <dgm:prSet/>
      <dgm:spPr/>
      <dgm:t>
        <a:bodyPr/>
        <a:lstStyle/>
        <a:p>
          <a:endParaRPr lang="en-US" sz="1100" b="0">
            <a:latin typeface="AcadNusx" pitchFamily="2" charset="0"/>
          </a:endParaRPr>
        </a:p>
      </dgm:t>
    </dgm:pt>
    <dgm:pt modelId="{C0C1723F-131E-443A-96FF-9BE700D1BD0D}" type="sibTrans" cxnId="{CC61CAD8-20F9-4D1B-8F00-82CF26AF7D3E}">
      <dgm:prSet/>
      <dgm:spPr/>
      <dgm:t>
        <a:bodyPr/>
        <a:lstStyle/>
        <a:p>
          <a:endParaRPr lang="en-US" b="1"/>
        </a:p>
      </dgm:t>
    </dgm:pt>
    <dgm:pt modelId="{2A593D08-6C4F-4893-8DEF-0F179E451227}">
      <dgm:prSet custT="1"/>
      <dgm:spPr/>
      <dgm:t>
        <a:bodyPr/>
        <a:lstStyle/>
        <a:p>
          <a:r>
            <a:rPr lang="ka-GE" sz="1100">
              <a:latin typeface="Sylfaen" pitchFamily="18" charset="0"/>
            </a:rPr>
            <a:t>დარიცხული და გადახდილი მიმდინარე გადასახდელები 1 000 ლარით აღემატება საგადასახადო წლის მიხედვით წარმოდგენილ ქონების გადასახადის დეკლარაციაში ასახულ გადასახადის თანხას</a:t>
          </a:r>
          <a:endParaRPr lang="en-US" sz="1100">
            <a:latin typeface="Sylfaen" pitchFamily="18" charset="0"/>
          </a:endParaRPr>
        </a:p>
      </dgm:t>
    </dgm:pt>
    <dgm:pt modelId="{C902E2DB-BEC8-4856-BA4D-E8C3C7168B79}" type="parTrans" cxnId="{F70FCFE0-EAD8-46B2-8883-423F734FFEEB}">
      <dgm:prSet/>
      <dgm:spPr/>
      <dgm:t>
        <a:bodyPr/>
        <a:lstStyle/>
        <a:p>
          <a:endParaRPr lang="en-US"/>
        </a:p>
      </dgm:t>
    </dgm:pt>
    <dgm:pt modelId="{8B01C6E7-502C-4DDA-AD2D-4A3C9360150F}" type="sibTrans" cxnId="{F70FCFE0-EAD8-46B2-8883-423F734FFEEB}">
      <dgm:prSet/>
      <dgm:spPr/>
      <dgm:t>
        <a:bodyPr/>
        <a:lstStyle/>
        <a:p>
          <a:endParaRPr lang="en-US"/>
        </a:p>
      </dgm:t>
    </dgm:pt>
    <dgm:pt modelId="{9C07E8BA-B3FD-42C8-B782-31F94FDE4DD6}">
      <dgm:prSet custT="1"/>
      <dgm:spPr/>
      <dgm:t>
        <a:bodyPr/>
        <a:lstStyle/>
        <a:p>
          <a:r>
            <a:rPr lang="ka-GE" sz="1100">
              <a:solidFill>
                <a:schemeClr val="tx1"/>
              </a:solidFill>
              <a:latin typeface="Sylfaen" pitchFamily="18" charset="0"/>
            </a:rPr>
            <a:t>1 000 ლარით გაზრდილია გამოსაქვითი ხარჯი</a:t>
          </a:r>
          <a:endParaRPr lang="en-US" sz="1100">
            <a:solidFill>
              <a:schemeClr val="tx1"/>
            </a:solidFill>
            <a:latin typeface="Sylfaen" pitchFamily="18" charset="0"/>
          </a:endParaRPr>
        </a:p>
      </dgm:t>
    </dgm:pt>
    <dgm:pt modelId="{3F98D161-D752-4940-A3D1-1ED95BE5267D}" type="parTrans" cxnId="{55A8A129-A5D9-446E-8C24-4A7E5EDDBBDC}">
      <dgm:prSet/>
      <dgm:spPr/>
      <dgm:t>
        <a:bodyPr/>
        <a:lstStyle/>
        <a:p>
          <a:endParaRPr lang="en-US"/>
        </a:p>
      </dgm:t>
    </dgm:pt>
    <dgm:pt modelId="{FD503510-49B1-4365-B7AF-30C80A18DA9B}" type="sibTrans" cxnId="{55A8A129-A5D9-446E-8C24-4A7E5EDDBBDC}">
      <dgm:prSet/>
      <dgm:spPr/>
      <dgm:t>
        <a:bodyPr/>
        <a:lstStyle/>
        <a:p>
          <a:endParaRPr lang="en-US"/>
        </a:p>
      </dgm:t>
    </dgm:pt>
    <dgm:pt modelId="{33991C9A-45FF-4E3A-85EA-5775C1E59D36}">
      <dgm:prSet custT="1"/>
      <dgm:spPr/>
      <dgm:t>
        <a:bodyPr/>
        <a:lstStyle/>
        <a:p>
          <a:r>
            <a:rPr lang="ka-GE" sz="1100">
              <a:latin typeface="Sylfaen" pitchFamily="18" charset="0"/>
            </a:rPr>
            <a:t>ერთობლივი შემოსავლიდან გამოქვითვას ექვემდებარება ქონების გადასახადის დეკლარირებული და დარიცხული თანხა</a:t>
          </a:r>
          <a:endParaRPr lang="en-US" sz="1100">
            <a:latin typeface="Sylfaen" pitchFamily="18" charset="0"/>
          </a:endParaRPr>
        </a:p>
      </dgm:t>
    </dgm:pt>
    <dgm:pt modelId="{F528A14A-AF5E-44E4-A87B-FFE84FA0635C}" type="parTrans" cxnId="{6ED39D44-B9EA-418C-A560-592B3E00AE9E}">
      <dgm:prSet/>
      <dgm:spPr/>
      <dgm:t>
        <a:bodyPr/>
        <a:lstStyle/>
        <a:p>
          <a:endParaRPr lang="en-US"/>
        </a:p>
      </dgm:t>
    </dgm:pt>
    <dgm:pt modelId="{4A188E4D-4188-49AC-9598-D53B6D0CF827}" type="sibTrans" cxnId="{6ED39D44-B9EA-418C-A560-592B3E00AE9E}">
      <dgm:prSet/>
      <dgm:spPr/>
      <dgm:t>
        <a:bodyPr/>
        <a:lstStyle/>
        <a:p>
          <a:endParaRPr lang="en-US"/>
        </a:p>
      </dgm:t>
    </dgm:pt>
    <dgm:pt modelId="{B4D11B42-E642-4237-B8F9-795C9B3B1616}">
      <dgm:prSet custT="1"/>
      <dgm:spPr/>
      <dgm:t>
        <a:bodyPr/>
        <a:lstStyle/>
        <a:p>
          <a:r>
            <a:rPr lang="ka-GE" sz="1100" b="0" i="0">
              <a:latin typeface="Sylfaen" pitchFamily="18" charset="0"/>
            </a:rPr>
            <a:t>დაკორექტირდება (შემცირდება) საწარმოს გამოსაქვითი ხარჯები და დასაბეგრი მოგება და დაერიცხება კუთვნილი გადასახადი</a:t>
          </a:r>
          <a:endParaRPr lang="en-US" sz="1100" b="0" i="0">
            <a:latin typeface="Sylfaen" pitchFamily="18" charset="0"/>
          </a:endParaRPr>
        </a:p>
      </dgm:t>
    </dgm:pt>
    <dgm:pt modelId="{AABBDE0A-B9EF-4CAF-B4FA-89ECFE64C588}" type="sibTrans" cxnId="{C635285C-E76F-438F-AD88-49B501D4FCD4}">
      <dgm:prSet/>
      <dgm:spPr/>
      <dgm:t>
        <a:bodyPr/>
        <a:lstStyle/>
        <a:p>
          <a:endParaRPr lang="en-US" b="1"/>
        </a:p>
      </dgm:t>
    </dgm:pt>
    <dgm:pt modelId="{63BFCA6C-BEC4-435A-8E72-0F4C0248610F}" type="parTrans" cxnId="{C635285C-E76F-438F-AD88-49B501D4FCD4}">
      <dgm:prSet/>
      <dgm:spPr/>
      <dgm:t>
        <a:bodyPr/>
        <a:lstStyle/>
        <a:p>
          <a:endParaRPr lang="en-US" sz="1100" b="0">
            <a:latin typeface="AcadNusx" pitchFamily="2" charset="0"/>
          </a:endParaRPr>
        </a:p>
      </dgm:t>
    </dgm:pt>
    <dgm:pt modelId="{29A998F4-CA6D-4B77-B703-EBB58EDD4D4D}">
      <dgm:prSet custT="1"/>
      <dgm:spPr/>
      <dgm:t>
        <a:bodyPr/>
        <a:lstStyle/>
        <a:p>
          <a:r>
            <a:rPr lang="ka-GE" sz="1100">
              <a:latin typeface="Sylfaen" pitchFamily="18" charset="0"/>
            </a:rPr>
            <a:t>საწარმო დაჯარიმდება მოგების გადასახადის შემცირების შემთხვევაში სსკ-ის   132-ე მუხლის საფუძველზე</a:t>
          </a:r>
          <a:endParaRPr lang="en-US" sz="1100">
            <a:latin typeface="Sylfaen" pitchFamily="18" charset="0"/>
          </a:endParaRPr>
        </a:p>
      </dgm:t>
    </dgm:pt>
    <dgm:pt modelId="{04CF069F-3651-45EC-8CB2-537F82ED770E}" type="parTrans" cxnId="{A5AF3429-0E30-400C-8536-782BAA3591AF}">
      <dgm:prSet/>
      <dgm:spPr/>
      <dgm:t>
        <a:bodyPr/>
        <a:lstStyle/>
        <a:p>
          <a:endParaRPr lang="en-US"/>
        </a:p>
      </dgm:t>
    </dgm:pt>
    <dgm:pt modelId="{2E046194-F887-406D-81AC-930F2EA93112}" type="sibTrans" cxnId="{A5AF3429-0E30-400C-8536-782BAA3591AF}">
      <dgm:prSet/>
      <dgm:spPr/>
      <dgm:t>
        <a:bodyPr/>
        <a:lstStyle/>
        <a:p>
          <a:endParaRPr lang="en-US"/>
        </a:p>
      </dgm:t>
    </dgm:pt>
    <dgm:pt modelId="{B388476D-662D-499E-86FF-075E40B9B116}" type="pres">
      <dgm:prSet presAssocID="{AF2C8C0F-097D-4DC9-9C67-E8D19F634135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4CCE11F2-9671-4C6B-9F76-2C10D78361EF}" type="pres">
      <dgm:prSet presAssocID="{6EDDC9A4-7743-45A1-A47F-DDC8AA334378}" presName="root" presStyleCnt="0"/>
      <dgm:spPr/>
    </dgm:pt>
    <dgm:pt modelId="{C557614C-F630-4D5F-BE22-AB9FC945D279}" type="pres">
      <dgm:prSet presAssocID="{6EDDC9A4-7743-45A1-A47F-DDC8AA334378}" presName="rootComposite" presStyleCnt="0"/>
      <dgm:spPr/>
    </dgm:pt>
    <dgm:pt modelId="{1A83EF98-3231-40EA-B1D6-7E43DBA651A6}" type="pres">
      <dgm:prSet presAssocID="{6EDDC9A4-7743-45A1-A47F-DDC8AA334378}" presName="rootText" presStyleLbl="node1" presStyleIdx="0" presStyleCnt="3" custScaleX="172399" custScaleY="85174" custLinFactNeighborX="16882" custLinFactNeighborY="-92928"/>
      <dgm:spPr/>
      <dgm:t>
        <a:bodyPr/>
        <a:lstStyle/>
        <a:p>
          <a:endParaRPr lang="en-US"/>
        </a:p>
      </dgm:t>
    </dgm:pt>
    <dgm:pt modelId="{8E010497-E5A8-4319-AFB0-5D34092ECD88}" type="pres">
      <dgm:prSet presAssocID="{6EDDC9A4-7743-45A1-A47F-DDC8AA334378}" presName="rootConnector" presStyleLbl="node1" presStyleIdx="0" presStyleCnt="3"/>
      <dgm:spPr/>
      <dgm:t>
        <a:bodyPr/>
        <a:lstStyle/>
        <a:p>
          <a:endParaRPr lang="en-US"/>
        </a:p>
      </dgm:t>
    </dgm:pt>
    <dgm:pt modelId="{2F8125D7-8EE8-4988-87E0-9DDFA76BED4A}" type="pres">
      <dgm:prSet presAssocID="{6EDDC9A4-7743-45A1-A47F-DDC8AA334378}" presName="childShape" presStyleCnt="0"/>
      <dgm:spPr/>
    </dgm:pt>
    <dgm:pt modelId="{E401CA66-E0CC-4580-B865-916053515C0A}" type="pres">
      <dgm:prSet presAssocID="{02B9985B-7F57-43D5-A167-ED9248916466}" presName="Name13" presStyleLbl="parChTrans1D2" presStyleIdx="0" presStyleCnt="6"/>
      <dgm:spPr/>
      <dgm:t>
        <a:bodyPr/>
        <a:lstStyle/>
        <a:p>
          <a:endParaRPr lang="en-US"/>
        </a:p>
      </dgm:t>
    </dgm:pt>
    <dgm:pt modelId="{502E3CA8-4633-4F6E-956E-8D77AF0B9A67}" type="pres">
      <dgm:prSet presAssocID="{EC4D90D5-A3B7-4A12-88DA-77AA7E9A9696}" presName="childText" presStyleLbl="bgAcc1" presStyleIdx="0" presStyleCnt="6" custScaleX="186908" custScaleY="319244" custLinFactNeighborX="10778" custLinFactNeighborY="-9886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1317D2F-48EA-4414-B8C3-0F0DF1020FA4}" type="pres">
      <dgm:prSet presAssocID="{C902E2DB-BEC8-4856-BA4D-E8C3C7168B79}" presName="Name13" presStyleLbl="parChTrans1D2" presStyleIdx="1" presStyleCnt="6"/>
      <dgm:spPr/>
      <dgm:t>
        <a:bodyPr/>
        <a:lstStyle/>
        <a:p>
          <a:endParaRPr lang="en-US"/>
        </a:p>
      </dgm:t>
    </dgm:pt>
    <dgm:pt modelId="{06166254-EAD0-4311-851E-F063E7192781}" type="pres">
      <dgm:prSet presAssocID="{2A593D08-6C4F-4893-8DEF-0F179E451227}" presName="childText" presStyleLbl="bgAcc1" presStyleIdx="1" presStyleCnt="6" custScaleX="183763" custScaleY="334319" custLinFactNeighborX="11899" custLinFactNeighborY="-9104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FB5DE3C-867A-44B8-89CD-BAF599600FD9}" type="pres">
      <dgm:prSet presAssocID="{0864151C-55A8-4402-A51E-35DDE1DCFDCF}" presName="root" presStyleCnt="0"/>
      <dgm:spPr/>
    </dgm:pt>
    <dgm:pt modelId="{9DE9E381-FFCB-4D13-B9AA-C091B657A585}" type="pres">
      <dgm:prSet presAssocID="{0864151C-55A8-4402-A51E-35DDE1DCFDCF}" presName="rootComposite" presStyleCnt="0"/>
      <dgm:spPr/>
    </dgm:pt>
    <dgm:pt modelId="{CCF1B5AD-441C-4182-AB14-F5EBF8654620}" type="pres">
      <dgm:prSet presAssocID="{0864151C-55A8-4402-A51E-35DDE1DCFDCF}" presName="rootText" presStyleLbl="node1" presStyleIdx="1" presStyleCnt="3" custScaleX="230901" custScaleY="83335" custLinFactNeighborX="1306" custLinFactNeighborY="-96138"/>
      <dgm:spPr/>
      <dgm:t>
        <a:bodyPr/>
        <a:lstStyle/>
        <a:p>
          <a:endParaRPr lang="en-US"/>
        </a:p>
      </dgm:t>
    </dgm:pt>
    <dgm:pt modelId="{F5A8D68E-1317-4112-8179-3D951CA9F398}" type="pres">
      <dgm:prSet presAssocID="{0864151C-55A8-4402-A51E-35DDE1DCFDCF}" presName="rootConnector" presStyleLbl="node1" presStyleIdx="1" presStyleCnt="3"/>
      <dgm:spPr/>
      <dgm:t>
        <a:bodyPr/>
        <a:lstStyle/>
        <a:p>
          <a:endParaRPr lang="en-US"/>
        </a:p>
      </dgm:t>
    </dgm:pt>
    <dgm:pt modelId="{25491ECF-4A66-42F1-8AA3-00082B855958}" type="pres">
      <dgm:prSet presAssocID="{0864151C-55A8-4402-A51E-35DDE1DCFDCF}" presName="childShape" presStyleCnt="0"/>
      <dgm:spPr/>
    </dgm:pt>
    <dgm:pt modelId="{584661F5-5507-495B-A407-8A7C5FB47BFB}" type="pres">
      <dgm:prSet presAssocID="{F528A14A-AF5E-44E4-A87B-FFE84FA0635C}" presName="Name13" presStyleLbl="parChTrans1D2" presStyleIdx="2" presStyleCnt="6"/>
      <dgm:spPr/>
      <dgm:t>
        <a:bodyPr/>
        <a:lstStyle/>
        <a:p>
          <a:endParaRPr lang="en-US"/>
        </a:p>
      </dgm:t>
    </dgm:pt>
    <dgm:pt modelId="{811180F8-985E-43C1-93D2-0134FBDCA749}" type="pres">
      <dgm:prSet presAssocID="{33991C9A-45FF-4E3A-85EA-5775C1E59D36}" presName="childText" presStyleLbl="bgAcc1" presStyleIdx="2" presStyleCnt="6" custScaleX="229151" custScaleY="192066" custLinFactNeighborX="-7214" custLinFactNeighborY="-8982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873286C-BE2C-4BDC-AB7F-83A56B85C3BA}" type="pres">
      <dgm:prSet presAssocID="{3F98D161-D752-4940-A3D1-1ED95BE5267D}" presName="Name13" presStyleLbl="parChTrans1D2" presStyleIdx="3" presStyleCnt="6"/>
      <dgm:spPr/>
      <dgm:t>
        <a:bodyPr/>
        <a:lstStyle/>
        <a:p>
          <a:endParaRPr lang="en-US"/>
        </a:p>
      </dgm:t>
    </dgm:pt>
    <dgm:pt modelId="{F5A3E357-4324-493A-86ED-EC691E29B736}" type="pres">
      <dgm:prSet presAssocID="{9C07E8BA-B3FD-42C8-B782-31F94FDE4DD6}" presName="childText" presStyleLbl="bgAcc1" presStyleIdx="3" presStyleCnt="6" custScaleX="223899" custScaleY="147737" custLinFactNeighborX="-4039" custLinFactNeighborY="-8906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5F88AEE-451A-4C5A-8D98-001CB6888185}" type="pres">
      <dgm:prSet presAssocID="{E40EDAB5-D188-4812-A61A-95A9AC19C0AE}" presName="root" presStyleCnt="0"/>
      <dgm:spPr/>
    </dgm:pt>
    <dgm:pt modelId="{CE3720F1-9340-4685-87FD-D50F37CC033B}" type="pres">
      <dgm:prSet presAssocID="{E40EDAB5-D188-4812-A61A-95A9AC19C0AE}" presName="rootComposite" presStyleCnt="0"/>
      <dgm:spPr/>
    </dgm:pt>
    <dgm:pt modelId="{A52CC481-1E94-45D5-998C-116D7F06F43C}" type="pres">
      <dgm:prSet presAssocID="{E40EDAB5-D188-4812-A61A-95A9AC19C0AE}" presName="rootText" presStyleLbl="node1" presStyleIdx="2" presStyleCnt="3" custScaleX="176171" custScaleY="84722" custLinFactNeighborX="-11225" custLinFactNeighborY="-97851"/>
      <dgm:spPr/>
      <dgm:t>
        <a:bodyPr/>
        <a:lstStyle/>
        <a:p>
          <a:endParaRPr lang="en-US"/>
        </a:p>
      </dgm:t>
    </dgm:pt>
    <dgm:pt modelId="{FA81A31F-68B4-47C4-B547-823393526F80}" type="pres">
      <dgm:prSet presAssocID="{E40EDAB5-D188-4812-A61A-95A9AC19C0AE}" presName="rootConnector" presStyleLbl="node1" presStyleIdx="2" presStyleCnt="3"/>
      <dgm:spPr/>
      <dgm:t>
        <a:bodyPr/>
        <a:lstStyle/>
        <a:p>
          <a:endParaRPr lang="en-US"/>
        </a:p>
      </dgm:t>
    </dgm:pt>
    <dgm:pt modelId="{13D5A3C6-CE80-425E-9D29-FCD90E15EBB7}" type="pres">
      <dgm:prSet presAssocID="{E40EDAB5-D188-4812-A61A-95A9AC19C0AE}" presName="childShape" presStyleCnt="0"/>
      <dgm:spPr/>
    </dgm:pt>
    <dgm:pt modelId="{EE9D00C4-D2C7-4FC5-8294-1E69973FB5F8}" type="pres">
      <dgm:prSet presAssocID="{63BFCA6C-BEC4-435A-8E72-0F4C0248610F}" presName="Name13" presStyleLbl="parChTrans1D2" presStyleIdx="4" presStyleCnt="6"/>
      <dgm:spPr/>
      <dgm:t>
        <a:bodyPr/>
        <a:lstStyle/>
        <a:p>
          <a:endParaRPr lang="en-US"/>
        </a:p>
      </dgm:t>
    </dgm:pt>
    <dgm:pt modelId="{5833CB5C-BF6D-4796-A3D1-E840B57D7143}" type="pres">
      <dgm:prSet presAssocID="{B4D11B42-E642-4237-B8F9-795C9B3B1616}" presName="childText" presStyleLbl="bgAcc1" presStyleIdx="4" presStyleCnt="6" custScaleX="179542" custScaleY="290340" custLinFactNeighborX="-22071" custLinFactNeighborY="-8962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A4A5C1A-F165-419D-AF4E-5B55115246BA}" type="pres">
      <dgm:prSet presAssocID="{04CF069F-3651-45EC-8CB2-537F82ED770E}" presName="Name13" presStyleLbl="parChTrans1D2" presStyleIdx="5" presStyleCnt="6"/>
      <dgm:spPr/>
      <dgm:t>
        <a:bodyPr/>
        <a:lstStyle/>
        <a:p>
          <a:endParaRPr lang="en-US"/>
        </a:p>
      </dgm:t>
    </dgm:pt>
    <dgm:pt modelId="{9272F942-0445-4013-9BB5-584A45F92046}" type="pres">
      <dgm:prSet presAssocID="{29A998F4-CA6D-4B77-B703-EBB58EDD4D4D}" presName="childText" presStyleLbl="bgAcc1" presStyleIdx="5" presStyleCnt="6" custScaleX="177859" custScaleY="198273" custLinFactNeighborX="-20093" custLinFactNeighborY="-8679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27B01310-2AE1-40D4-AE8C-3D8A753A4A01}" type="presOf" srcId="{63BFCA6C-BEC4-435A-8E72-0F4C0248610F}" destId="{EE9D00C4-D2C7-4FC5-8294-1E69973FB5F8}" srcOrd="0" destOrd="0" presId="urn:microsoft.com/office/officeart/2005/8/layout/hierarchy3"/>
    <dgm:cxn modelId="{4EF189E3-9B67-498A-83D9-73C7091FF51C}" type="presOf" srcId="{02B9985B-7F57-43D5-A167-ED9248916466}" destId="{E401CA66-E0CC-4580-B865-916053515C0A}" srcOrd="0" destOrd="0" presId="urn:microsoft.com/office/officeart/2005/8/layout/hierarchy3"/>
    <dgm:cxn modelId="{63A0254A-6427-4701-A95D-0293E3D463BD}" type="presOf" srcId="{33991C9A-45FF-4E3A-85EA-5775C1E59D36}" destId="{811180F8-985E-43C1-93D2-0134FBDCA749}" srcOrd="0" destOrd="0" presId="urn:microsoft.com/office/officeart/2005/8/layout/hierarchy3"/>
    <dgm:cxn modelId="{584EDDDB-E81B-4F06-938E-98BF282AD35F}" type="presOf" srcId="{E40EDAB5-D188-4812-A61A-95A9AC19C0AE}" destId="{FA81A31F-68B4-47C4-B547-823393526F80}" srcOrd="1" destOrd="0" presId="urn:microsoft.com/office/officeart/2005/8/layout/hierarchy3"/>
    <dgm:cxn modelId="{216F94CA-2CF6-4ADE-BC12-19E1A24B0E65}" type="presOf" srcId="{04CF069F-3651-45EC-8CB2-537F82ED770E}" destId="{6A4A5C1A-F165-419D-AF4E-5B55115246BA}" srcOrd="0" destOrd="0" presId="urn:microsoft.com/office/officeart/2005/8/layout/hierarchy3"/>
    <dgm:cxn modelId="{CC61CAD8-20F9-4D1B-8F00-82CF26AF7D3E}" srcId="{6EDDC9A4-7743-45A1-A47F-DDC8AA334378}" destId="{EC4D90D5-A3B7-4A12-88DA-77AA7E9A9696}" srcOrd="0" destOrd="0" parTransId="{02B9985B-7F57-43D5-A167-ED9248916466}" sibTransId="{C0C1723F-131E-443A-96FF-9BE700D1BD0D}"/>
    <dgm:cxn modelId="{DF68BDDC-0D11-474F-96B9-B635F54427C0}" type="presOf" srcId="{AF2C8C0F-097D-4DC9-9C67-E8D19F634135}" destId="{B388476D-662D-499E-86FF-075E40B9B116}" srcOrd="0" destOrd="0" presId="urn:microsoft.com/office/officeart/2005/8/layout/hierarchy3"/>
    <dgm:cxn modelId="{31E5E9EC-D021-4A84-B293-51B20A48D09C}" type="presOf" srcId="{2A593D08-6C4F-4893-8DEF-0F179E451227}" destId="{06166254-EAD0-4311-851E-F063E7192781}" srcOrd="0" destOrd="0" presId="urn:microsoft.com/office/officeart/2005/8/layout/hierarchy3"/>
    <dgm:cxn modelId="{736484D8-FC47-4D59-978F-6F96CA65B8B3}" type="presOf" srcId="{0864151C-55A8-4402-A51E-35DDE1DCFDCF}" destId="{F5A8D68E-1317-4112-8179-3D951CA9F398}" srcOrd="1" destOrd="0" presId="urn:microsoft.com/office/officeart/2005/8/layout/hierarchy3"/>
    <dgm:cxn modelId="{7ED551E5-21F4-446F-8B12-CA34A1D0F062}" type="presOf" srcId="{B4D11B42-E642-4237-B8F9-795C9B3B1616}" destId="{5833CB5C-BF6D-4796-A3D1-E840B57D7143}" srcOrd="0" destOrd="0" presId="urn:microsoft.com/office/officeart/2005/8/layout/hierarchy3"/>
    <dgm:cxn modelId="{11B7CDF5-102A-4EBF-BC1F-203D05417F15}" type="presOf" srcId="{9C07E8BA-B3FD-42C8-B782-31F94FDE4DD6}" destId="{F5A3E357-4324-493A-86ED-EC691E29B736}" srcOrd="0" destOrd="0" presId="urn:microsoft.com/office/officeart/2005/8/layout/hierarchy3"/>
    <dgm:cxn modelId="{A5AF3429-0E30-400C-8536-782BAA3591AF}" srcId="{E40EDAB5-D188-4812-A61A-95A9AC19C0AE}" destId="{29A998F4-CA6D-4B77-B703-EBB58EDD4D4D}" srcOrd="1" destOrd="0" parTransId="{04CF069F-3651-45EC-8CB2-537F82ED770E}" sibTransId="{2E046194-F887-406D-81AC-930F2EA93112}"/>
    <dgm:cxn modelId="{6BB1F977-FE50-4514-A69F-C70AFDCA7FB8}" type="presOf" srcId="{29A998F4-CA6D-4B77-B703-EBB58EDD4D4D}" destId="{9272F942-0445-4013-9BB5-584A45F92046}" srcOrd="0" destOrd="0" presId="urn:microsoft.com/office/officeart/2005/8/layout/hierarchy3"/>
    <dgm:cxn modelId="{2C05CF84-FFEF-4FD6-8B1D-E80DF5C80D8F}" type="presOf" srcId="{6EDDC9A4-7743-45A1-A47F-DDC8AA334378}" destId="{8E010497-E5A8-4319-AFB0-5D34092ECD88}" srcOrd="1" destOrd="0" presId="urn:microsoft.com/office/officeart/2005/8/layout/hierarchy3"/>
    <dgm:cxn modelId="{4B77448A-699A-4300-8C09-3C87E0D87FA6}" type="presOf" srcId="{E40EDAB5-D188-4812-A61A-95A9AC19C0AE}" destId="{A52CC481-1E94-45D5-998C-116D7F06F43C}" srcOrd="0" destOrd="0" presId="urn:microsoft.com/office/officeart/2005/8/layout/hierarchy3"/>
    <dgm:cxn modelId="{64212044-D9C6-490D-94C7-91C9EB98DB18}" type="presOf" srcId="{6EDDC9A4-7743-45A1-A47F-DDC8AA334378}" destId="{1A83EF98-3231-40EA-B1D6-7E43DBA651A6}" srcOrd="0" destOrd="0" presId="urn:microsoft.com/office/officeart/2005/8/layout/hierarchy3"/>
    <dgm:cxn modelId="{C635285C-E76F-438F-AD88-49B501D4FCD4}" srcId="{E40EDAB5-D188-4812-A61A-95A9AC19C0AE}" destId="{B4D11B42-E642-4237-B8F9-795C9B3B1616}" srcOrd="0" destOrd="0" parTransId="{63BFCA6C-BEC4-435A-8E72-0F4C0248610F}" sibTransId="{AABBDE0A-B9EF-4CAF-B4FA-89ECFE64C588}"/>
    <dgm:cxn modelId="{7A73B562-EACC-4904-8BB8-3FDFE7398C28}" srcId="{AF2C8C0F-097D-4DC9-9C67-E8D19F634135}" destId="{E40EDAB5-D188-4812-A61A-95A9AC19C0AE}" srcOrd="2" destOrd="0" parTransId="{FAE3ACFB-230C-407E-8CBC-952817FA18AA}" sibTransId="{342C2EFC-EB00-410F-82E6-57D5275D470B}"/>
    <dgm:cxn modelId="{55A8A129-A5D9-446E-8C24-4A7E5EDDBBDC}" srcId="{0864151C-55A8-4402-A51E-35DDE1DCFDCF}" destId="{9C07E8BA-B3FD-42C8-B782-31F94FDE4DD6}" srcOrd="1" destOrd="0" parTransId="{3F98D161-D752-4940-A3D1-1ED95BE5267D}" sibTransId="{FD503510-49B1-4365-B7AF-30C80A18DA9B}"/>
    <dgm:cxn modelId="{75B4B3DB-9448-4DA5-95A9-EAB7231EF1E7}" type="presOf" srcId="{0864151C-55A8-4402-A51E-35DDE1DCFDCF}" destId="{CCF1B5AD-441C-4182-AB14-F5EBF8654620}" srcOrd="0" destOrd="0" presId="urn:microsoft.com/office/officeart/2005/8/layout/hierarchy3"/>
    <dgm:cxn modelId="{D2427F20-B0E2-435A-87EE-9CF9178695AB}" srcId="{AF2C8C0F-097D-4DC9-9C67-E8D19F634135}" destId="{6EDDC9A4-7743-45A1-A47F-DDC8AA334378}" srcOrd="0" destOrd="0" parTransId="{3A48E9A3-A638-4BBF-9C68-D8F4933C7E36}" sibTransId="{D05AD119-BE24-43D7-9E4E-8F0C25949A32}"/>
    <dgm:cxn modelId="{BB60A470-BC92-4E45-B1FC-1342C7B46862}" type="presOf" srcId="{C902E2DB-BEC8-4856-BA4D-E8C3C7168B79}" destId="{F1317D2F-48EA-4414-B8C3-0F0DF1020FA4}" srcOrd="0" destOrd="0" presId="urn:microsoft.com/office/officeart/2005/8/layout/hierarchy3"/>
    <dgm:cxn modelId="{03607AEF-07AD-4BDB-A89D-B209BC79EF53}" srcId="{AF2C8C0F-097D-4DC9-9C67-E8D19F634135}" destId="{0864151C-55A8-4402-A51E-35DDE1DCFDCF}" srcOrd="1" destOrd="0" parTransId="{F7BDD5F8-65A4-4108-AE7C-CFA0F4388FB8}" sibTransId="{0A05DBC0-5F35-4A5D-A28B-267431B26F59}"/>
    <dgm:cxn modelId="{6ED39D44-B9EA-418C-A560-592B3E00AE9E}" srcId="{0864151C-55A8-4402-A51E-35DDE1DCFDCF}" destId="{33991C9A-45FF-4E3A-85EA-5775C1E59D36}" srcOrd="0" destOrd="0" parTransId="{F528A14A-AF5E-44E4-A87B-FFE84FA0635C}" sibTransId="{4A188E4D-4188-49AC-9598-D53B6D0CF827}"/>
    <dgm:cxn modelId="{E0984220-B3E8-44BE-BD96-F34F964BB647}" type="presOf" srcId="{EC4D90D5-A3B7-4A12-88DA-77AA7E9A9696}" destId="{502E3CA8-4633-4F6E-956E-8D77AF0B9A67}" srcOrd="0" destOrd="0" presId="urn:microsoft.com/office/officeart/2005/8/layout/hierarchy3"/>
    <dgm:cxn modelId="{C3225B8F-D34D-4905-BB86-A53E49936F53}" type="presOf" srcId="{F528A14A-AF5E-44E4-A87B-FFE84FA0635C}" destId="{584661F5-5507-495B-A407-8A7C5FB47BFB}" srcOrd="0" destOrd="0" presId="urn:microsoft.com/office/officeart/2005/8/layout/hierarchy3"/>
    <dgm:cxn modelId="{D781E1B4-36DF-4ABB-90F5-F1834F3744A7}" type="presOf" srcId="{3F98D161-D752-4940-A3D1-1ED95BE5267D}" destId="{5873286C-BE2C-4BDC-AB7F-83A56B85C3BA}" srcOrd="0" destOrd="0" presId="urn:microsoft.com/office/officeart/2005/8/layout/hierarchy3"/>
    <dgm:cxn modelId="{F70FCFE0-EAD8-46B2-8883-423F734FFEEB}" srcId="{6EDDC9A4-7743-45A1-A47F-DDC8AA334378}" destId="{2A593D08-6C4F-4893-8DEF-0F179E451227}" srcOrd="1" destOrd="0" parTransId="{C902E2DB-BEC8-4856-BA4D-E8C3C7168B79}" sibTransId="{8B01C6E7-502C-4DDA-AD2D-4A3C9360150F}"/>
    <dgm:cxn modelId="{A5B4474F-5826-45F6-B21C-1EC3EE6FA36D}" type="presParOf" srcId="{B388476D-662D-499E-86FF-075E40B9B116}" destId="{4CCE11F2-9671-4C6B-9F76-2C10D78361EF}" srcOrd="0" destOrd="0" presId="urn:microsoft.com/office/officeart/2005/8/layout/hierarchy3"/>
    <dgm:cxn modelId="{4D0E4F23-9DAC-4416-9392-B7A799B9FFF6}" type="presParOf" srcId="{4CCE11F2-9671-4C6B-9F76-2C10D78361EF}" destId="{C557614C-F630-4D5F-BE22-AB9FC945D279}" srcOrd="0" destOrd="0" presId="urn:microsoft.com/office/officeart/2005/8/layout/hierarchy3"/>
    <dgm:cxn modelId="{9B701BA2-7DA3-4AE6-94D4-34080DE8B0C5}" type="presParOf" srcId="{C557614C-F630-4D5F-BE22-AB9FC945D279}" destId="{1A83EF98-3231-40EA-B1D6-7E43DBA651A6}" srcOrd="0" destOrd="0" presId="urn:microsoft.com/office/officeart/2005/8/layout/hierarchy3"/>
    <dgm:cxn modelId="{8DC2DDBC-E590-4652-9894-42705003C243}" type="presParOf" srcId="{C557614C-F630-4D5F-BE22-AB9FC945D279}" destId="{8E010497-E5A8-4319-AFB0-5D34092ECD88}" srcOrd="1" destOrd="0" presId="urn:microsoft.com/office/officeart/2005/8/layout/hierarchy3"/>
    <dgm:cxn modelId="{799EF1FD-3213-4C4C-87F0-EDEA80F94C4E}" type="presParOf" srcId="{4CCE11F2-9671-4C6B-9F76-2C10D78361EF}" destId="{2F8125D7-8EE8-4988-87E0-9DDFA76BED4A}" srcOrd="1" destOrd="0" presId="urn:microsoft.com/office/officeart/2005/8/layout/hierarchy3"/>
    <dgm:cxn modelId="{2D832D0B-6826-4AB9-96BA-2B4D21657241}" type="presParOf" srcId="{2F8125D7-8EE8-4988-87E0-9DDFA76BED4A}" destId="{E401CA66-E0CC-4580-B865-916053515C0A}" srcOrd="0" destOrd="0" presId="urn:microsoft.com/office/officeart/2005/8/layout/hierarchy3"/>
    <dgm:cxn modelId="{7E229BBA-8326-4452-A2A0-BFDFC3087FAD}" type="presParOf" srcId="{2F8125D7-8EE8-4988-87E0-9DDFA76BED4A}" destId="{502E3CA8-4633-4F6E-956E-8D77AF0B9A67}" srcOrd="1" destOrd="0" presId="urn:microsoft.com/office/officeart/2005/8/layout/hierarchy3"/>
    <dgm:cxn modelId="{3DFDDF55-616C-435C-BCB7-570CE04566C4}" type="presParOf" srcId="{2F8125D7-8EE8-4988-87E0-9DDFA76BED4A}" destId="{F1317D2F-48EA-4414-B8C3-0F0DF1020FA4}" srcOrd="2" destOrd="0" presId="urn:microsoft.com/office/officeart/2005/8/layout/hierarchy3"/>
    <dgm:cxn modelId="{6C668257-7A2D-41EE-A617-95FF437284E1}" type="presParOf" srcId="{2F8125D7-8EE8-4988-87E0-9DDFA76BED4A}" destId="{06166254-EAD0-4311-851E-F063E7192781}" srcOrd="3" destOrd="0" presId="urn:microsoft.com/office/officeart/2005/8/layout/hierarchy3"/>
    <dgm:cxn modelId="{9C6E7AAB-1C69-469A-B41D-817BF3AA72E9}" type="presParOf" srcId="{B388476D-662D-499E-86FF-075E40B9B116}" destId="{2FB5DE3C-867A-44B8-89CD-BAF599600FD9}" srcOrd="1" destOrd="0" presId="urn:microsoft.com/office/officeart/2005/8/layout/hierarchy3"/>
    <dgm:cxn modelId="{BC0F146A-C197-478B-9A6F-ADAE03B37AC4}" type="presParOf" srcId="{2FB5DE3C-867A-44B8-89CD-BAF599600FD9}" destId="{9DE9E381-FFCB-4D13-B9AA-C091B657A585}" srcOrd="0" destOrd="0" presId="urn:microsoft.com/office/officeart/2005/8/layout/hierarchy3"/>
    <dgm:cxn modelId="{A59AFA31-561D-4C09-9192-BA8BDDFA36BF}" type="presParOf" srcId="{9DE9E381-FFCB-4D13-B9AA-C091B657A585}" destId="{CCF1B5AD-441C-4182-AB14-F5EBF8654620}" srcOrd="0" destOrd="0" presId="urn:microsoft.com/office/officeart/2005/8/layout/hierarchy3"/>
    <dgm:cxn modelId="{CA347EFF-F77E-4234-B22D-7BE081D8C3C5}" type="presParOf" srcId="{9DE9E381-FFCB-4D13-B9AA-C091B657A585}" destId="{F5A8D68E-1317-4112-8179-3D951CA9F398}" srcOrd="1" destOrd="0" presId="urn:microsoft.com/office/officeart/2005/8/layout/hierarchy3"/>
    <dgm:cxn modelId="{D87947AA-B376-4F2D-AB58-80A89AEEE54C}" type="presParOf" srcId="{2FB5DE3C-867A-44B8-89CD-BAF599600FD9}" destId="{25491ECF-4A66-42F1-8AA3-00082B855958}" srcOrd="1" destOrd="0" presId="urn:microsoft.com/office/officeart/2005/8/layout/hierarchy3"/>
    <dgm:cxn modelId="{3FEF4CD4-E8E6-4C44-A59C-61033EDD8865}" type="presParOf" srcId="{25491ECF-4A66-42F1-8AA3-00082B855958}" destId="{584661F5-5507-495B-A407-8A7C5FB47BFB}" srcOrd="0" destOrd="0" presId="urn:microsoft.com/office/officeart/2005/8/layout/hierarchy3"/>
    <dgm:cxn modelId="{464FEE6D-11D1-45F1-A73A-56FB5259C8C4}" type="presParOf" srcId="{25491ECF-4A66-42F1-8AA3-00082B855958}" destId="{811180F8-985E-43C1-93D2-0134FBDCA749}" srcOrd="1" destOrd="0" presId="urn:microsoft.com/office/officeart/2005/8/layout/hierarchy3"/>
    <dgm:cxn modelId="{8A1AC141-8928-4FD1-BE12-FE9E0AD9DC16}" type="presParOf" srcId="{25491ECF-4A66-42F1-8AA3-00082B855958}" destId="{5873286C-BE2C-4BDC-AB7F-83A56B85C3BA}" srcOrd="2" destOrd="0" presId="urn:microsoft.com/office/officeart/2005/8/layout/hierarchy3"/>
    <dgm:cxn modelId="{22FFF126-90B7-4260-BD3B-31CF999D61E5}" type="presParOf" srcId="{25491ECF-4A66-42F1-8AA3-00082B855958}" destId="{F5A3E357-4324-493A-86ED-EC691E29B736}" srcOrd="3" destOrd="0" presId="urn:microsoft.com/office/officeart/2005/8/layout/hierarchy3"/>
    <dgm:cxn modelId="{F7329621-6B31-41D7-B269-CF177E5CDC19}" type="presParOf" srcId="{B388476D-662D-499E-86FF-075E40B9B116}" destId="{B5F88AEE-451A-4C5A-8D98-001CB6888185}" srcOrd="2" destOrd="0" presId="urn:microsoft.com/office/officeart/2005/8/layout/hierarchy3"/>
    <dgm:cxn modelId="{EDE10732-4EA5-4EFC-B1A8-E92CC5987108}" type="presParOf" srcId="{B5F88AEE-451A-4C5A-8D98-001CB6888185}" destId="{CE3720F1-9340-4685-87FD-D50F37CC033B}" srcOrd="0" destOrd="0" presId="urn:microsoft.com/office/officeart/2005/8/layout/hierarchy3"/>
    <dgm:cxn modelId="{E40B3FB8-6783-4524-9819-A16F584D00F7}" type="presParOf" srcId="{CE3720F1-9340-4685-87FD-D50F37CC033B}" destId="{A52CC481-1E94-45D5-998C-116D7F06F43C}" srcOrd="0" destOrd="0" presId="urn:microsoft.com/office/officeart/2005/8/layout/hierarchy3"/>
    <dgm:cxn modelId="{6D524389-1C2C-4E91-9F11-4FF2E6257C4B}" type="presParOf" srcId="{CE3720F1-9340-4685-87FD-D50F37CC033B}" destId="{FA81A31F-68B4-47C4-B547-823393526F80}" srcOrd="1" destOrd="0" presId="urn:microsoft.com/office/officeart/2005/8/layout/hierarchy3"/>
    <dgm:cxn modelId="{CF6F3D4D-4877-410C-B514-60DD67BBE522}" type="presParOf" srcId="{B5F88AEE-451A-4C5A-8D98-001CB6888185}" destId="{13D5A3C6-CE80-425E-9D29-FCD90E15EBB7}" srcOrd="1" destOrd="0" presId="urn:microsoft.com/office/officeart/2005/8/layout/hierarchy3"/>
    <dgm:cxn modelId="{669A0968-ED41-480D-8086-FD8D76D257CF}" type="presParOf" srcId="{13D5A3C6-CE80-425E-9D29-FCD90E15EBB7}" destId="{EE9D00C4-D2C7-4FC5-8294-1E69973FB5F8}" srcOrd="0" destOrd="0" presId="urn:microsoft.com/office/officeart/2005/8/layout/hierarchy3"/>
    <dgm:cxn modelId="{0111CB05-60FA-40A4-BA97-7F3D230387B9}" type="presParOf" srcId="{13D5A3C6-CE80-425E-9D29-FCD90E15EBB7}" destId="{5833CB5C-BF6D-4796-A3D1-E840B57D7143}" srcOrd="1" destOrd="0" presId="urn:microsoft.com/office/officeart/2005/8/layout/hierarchy3"/>
    <dgm:cxn modelId="{157344DA-5A93-44C7-B94E-593D24905E40}" type="presParOf" srcId="{13D5A3C6-CE80-425E-9D29-FCD90E15EBB7}" destId="{6A4A5C1A-F165-419D-AF4E-5B55115246BA}" srcOrd="2" destOrd="0" presId="urn:microsoft.com/office/officeart/2005/8/layout/hierarchy3"/>
    <dgm:cxn modelId="{400F01B0-FC18-4188-8A72-A9BE23626ABA}" type="presParOf" srcId="{13D5A3C6-CE80-425E-9D29-FCD90E15EBB7}" destId="{9272F942-0445-4013-9BB5-584A45F92046}" srcOrd="3" destOrd="0" presId="urn:microsoft.com/office/officeart/2005/8/layout/hierarchy3"/>
  </dgm:cxnLst>
  <dgm:bg>
    <a:solidFill>
      <a:schemeClr val="bg1"/>
    </a:solidFill>
  </dgm:bg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A83EF98-3231-40EA-B1D6-7E43DBA651A6}">
      <dsp:nvSpPr>
        <dsp:cNvPr id="0" name=""/>
        <dsp:cNvSpPr/>
      </dsp:nvSpPr>
      <dsp:spPr>
        <a:xfrm>
          <a:off x="205533" y="87886"/>
          <a:ext cx="2043950" cy="504908"/>
        </a:xfrm>
        <a:prstGeom prst="roundRect">
          <a:avLst>
            <a:gd name="adj" fmla="val 10000"/>
          </a:avLst>
        </a:prstGeom>
        <a:solidFill>
          <a:schemeClr val="accent6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200" b="1" kern="1200">
              <a:latin typeface="Sylfaen" pitchFamily="18" charset="0"/>
            </a:rPr>
            <a:t>ფაქტობრივი გარემოებები</a:t>
          </a:r>
          <a:endParaRPr lang="en-US" sz="1200" b="1" kern="1200">
            <a:latin typeface="Sylfaen" pitchFamily="18" charset="0"/>
          </a:endParaRPr>
        </a:p>
      </dsp:txBody>
      <dsp:txXfrm>
        <a:off x="220321" y="102674"/>
        <a:ext cx="2014374" cy="475332"/>
      </dsp:txXfrm>
    </dsp:sp>
    <dsp:sp modelId="{E401CA66-E0CC-4580-B865-916053515C0A}">
      <dsp:nvSpPr>
        <dsp:cNvPr id="0" name=""/>
        <dsp:cNvSpPr/>
      </dsp:nvSpPr>
      <dsp:spPr>
        <a:xfrm>
          <a:off x="409928" y="592794"/>
          <a:ext cx="106469" cy="105923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59232"/>
              </a:lnTo>
              <a:lnTo>
                <a:pt x="106469" y="105923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02E3CA8-4633-4F6E-956E-8D77AF0B9A67}">
      <dsp:nvSpPr>
        <dsp:cNvPr id="0" name=""/>
        <dsp:cNvSpPr/>
      </dsp:nvSpPr>
      <dsp:spPr>
        <a:xfrm>
          <a:off x="516398" y="705793"/>
          <a:ext cx="1772774" cy="189246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100" b="0" kern="1200">
              <a:latin typeface="Sylfaen" pitchFamily="18" charset="0"/>
            </a:rPr>
            <a:t>საწარმოს მიერ ერთობლივი შემოსავლიდან გამოსაქვით ხარჯებში ჩართულია ქონების გადასახადში დარიცხული მიმდინარე გადასახდელები</a:t>
          </a:r>
          <a:endParaRPr lang="en-US" sz="1100" b="0" kern="1200">
            <a:latin typeface="Sylfaen" pitchFamily="18" charset="0"/>
          </a:endParaRPr>
        </a:p>
      </dsp:txBody>
      <dsp:txXfrm>
        <a:off x="568321" y="757716"/>
        <a:ext cx="1668928" cy="1788620"/>
      </dsp:txXfrm>
    </dsp:sp>
    <dsp:sp modelId="{F1317D2F-48EA-4414-B8C3-0F0DF1020FA4}">
      <dsp:nvSpPr>
        <dsp:cNvPr id="0" name=""/>
        <dsp:cNvSpPr/>
      </dsp:nvSpPr>
      <dsp:spPr>
        <a:xfrm>
          <a:off x="409928" y="592794"/>
          <a:ext cx="117102" cy="319097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190972"/>
              </a:lnTo>
              <a:lnTo>
                <a:pt x="117102" y="319097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6166254-EAD0-4311-851E-F063E7192781}">
      <dsp:nvSpPr>
        <dsp:cNvPr id="0" name=""/>
        <dsp:cNvSpPr/>
      </dsp:nvSpPr>
      <dsp:spPr>
        <a:xfrm>
          <a:off x="527031" y="2792851"/>
          <a:ext cx="1742944" cy="198183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100" kern="1200">
              <a:latin typeface="Sylfaen" pitchFamily="18" charset="0"/>
            </a:rPr>
            <a:t>დარიცხული და გადახდილი მიმდინარე გადასახდელები 1 000 ლარით აღემატება საგადასახადო წლის მიხედვით წარმოდგენილ ქონების გადასახადის დეკლარაციაში ასახულ გადასახადის თანხას</a:t>
          </a:r>
          <a:endParaRPr lang="en-US" sz="1100" kern="1200">
            <a:latin typeface="Sylfaen" pitchFamily="18" charset="0"/>
          </a:endParaRPr>
        </a:p>
      </dsp:txBody>
      <dsp:txXfrm>
        <a:off x="578080" y="2843900"/>
        <a:ext cx="1640846" cy="1879732"/>
      </dsp:txXfrm>
    </dsp:sp>
    <dsp:sp modelId="{CCF1B5AD-441C-4182-AB14-F5EBF8654620}">
      <dsp:nvSpPr>
        <dsp:cNvPr id="0" name=""/>
        <dsp:cNvSpPr/>
      </dsp:nvSpPr>
      <dsp:spPr>
        <a:xfrm>
          <a:off x="2361214" y="68857"/>
          <a:ext cx="2737545" cy="494006"/>
        </a:xfrm>
        <a:prstGeom prst="roundRect">
          <a:avLst>
            <a:gd name="adj" fmla="val 10000"/>
          </a:avLst>
        </a:prstGeom>
        <a:solidFill>
          <a:schemeClr val="accent6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200" b="1" kern="1200">
              <a:latin typeface="Sylfaen" pitchFamily="18" charset="0"/>
            </a:rPr>
            <a:t>შეფასება</a:t>
          </a:r>
          <a:endParaRPr lang="en-US" sz="1200" b="1" kern="1200">
            <a:latin typeface="Sylfaen" pitchFamily="18" charset="0"/>
          </a:endParaRPr>
        </a:p>
      </dsp:txBody>
      <dsp:txXfrm>
        <a:off x="2375683" y="83326"/>
        <a:ext cx="2708607" cy="465068"/>
      </dsp:txXfrm>
    </dsp:sp>
    <dsp:sp modelId="{584661F5-5507-495B-A407-8A7C5FB47BFB}">
      <dsp:nvSpPr>
        <dsp:cNvPr id="0" name=""/>
        <dsp:cNvSpPr/>
      </dsp:nvSpPr>
      <dsp:spPr>
        <a:xfrm>
          <a:off x="2634968" y="562864"/>
          <a:ext cx="189847" cy="75493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54932"/>
              </a:lnTo>
              <a:lnTo>
                <a:pt x="189847" y="75493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11180F8-985E-43C1-93D2-0134FBDCA749}">
      <dsp:nvSpPr>
        <dsp:cNvPr id="0" name=""/>
        <dsp:cNvSpPr/>
      </dsp:nvSpPr>
      <dsp:spPr>
        <a:xfrm>
          <a:off x="2824816" y="748516"/>
          <a:ext cx="2173438" cy="113856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100" kern="1200">
              <a:latin typeface="Sylfaen" pitchFamily="18" charset="0"/>
            </a:rPr>
            <a:t>ერთობლივი შემოსავლიდან გამოქვითვას ექვემდებარება ქონების გადასახადის დეკლარირებული და დარიცხული თანხა</a:t>
          </a:r>
          <a:endParaRPr lang="en-US" sz="1100" kern="1200">
            <a:latin typeface="Sylfaen" pitchFamily="18" charset="0"/>
          </a:endParaRPr>
        </a:p>
      </dsp:txBody>
      <dsp:txXfrm>
        <a:off x="2858163" y="781863"/>
        <a:ext cx="2106744" cy="1071866"/>
      </dsp:txXfrm>
    </dsp:sp>
    <dsp:sp modelId="{5873286C-BE2C-4BDC-AB7F-83A56B85C3BA}">
      <dsp:nvSpPr>
        <dsp:cNvPr id="0" name=""/>
        <dsp:cNvSpPr/>
      </dsp:nvSpPr>
      <dsp:spPr>
        <a:xfrm>
          <a:off x="2634968" y="562864"/>
          <a:ext cx="219961" cy="191480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14806"/>
              </a:lnTo>
              <a:lnTo>
                <a:pt x="219961" y="191480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5A3E357-4324-493A-86ED-EC691E29B736}">
      <dsp:nvSpPr>
        <dsp:cNvPr id="0" name=""/>
        <dsp:cNvSpPr/>
      </dsp:nvSpPr>
      <dsp:spPr>
        <a:xfrm>
          <a:off x="2854930" y="2039781"/>
          <a:ext cx="2123624" cy="87577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100" kern="1200">
              <a:solidFill>
                <a:schemeClr val="tx1"/>
              </a:solidFill>
              <a:latin typeface="Sylfaen" pitchFamily="18" charset="0"/>
            </a:rPr>
            <a:t>1 000 ლარით გაზრდილია გამოსაქვითი ხარჯი</a:t>
          </a:r>
          <a:endParaRPr lang="en-US" sz="1100" kern="1200">
            <a:solidFill>
              <a:schemeClr val="tx1"/>
            </a:solidFill>
            <a:latin typeface="Sylfaen" pitchFamily="18" charset="0"/>
          </a:endParaRPr>
        </a:p>
      </dsp:txBody>
      <dsp:txXfrm>
        <a:off x="2880581" y="2065432"/>
        <a:ext cx="2072322" cy="824477"/>
      </dsp:txXfrm>
    </dsp:sp>
    <dsp:sp modelId="{A52CC481-1E94-45D5-998C-116D7F06F43C}">
      <dsp:nvSpPr>
        <dsp:cNvPr id="0" name=""/>
        <dsp:cNvSpPr/>
      </dsp:nvSpPr>
      <dsp:spPr>
        <a:xfrm>
          <a:off x="5246591" y="58703"/>
          <a:ext cx="2088670" cy="502228"/>
        </a:xfrm>
        <a:prstGeom prst="roundRect">
          <a:avLst>
            <a:gd name="adj" fmla="val 10000"/>
          </a:avLst>
        </a:prstGeom>
        <a:solidFill>
          <a:schemeClr val="accent6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200" b="1" kern="1200">
              <a:latin typeface="Sylfaen" pitchFamily="18" charset="0"/>
            </a:rPr>
            <a:t>ღონისძიებები</a:t>
          </a:r>
          <a:endParaRPr lang="en-US" sz="1200" b="1" kern="1200">
            <a:latin typeface="Sylfaen" pitchFamily="18" charset="0"/>
          </a:endParaRPr>
        </a:p>
      </dsp:txBody>
      <dsp:txXfrm>
        <a:off x="5261301" y="73413"/>
        <a:ext cx="2059250" cy="472808"/>
      </dsp:txXfrm>
    </dsp:sp>
    <dsp:sp modelId="{EE9D00C4-D2C7-4FC5-8294-1E69973FB5F8}">
      <dsp:nvSpPr>
        <dsp:cNvPr id="0" name=""/>
        <dsp:cNvSpPr/>
      </dsp:nvSpPr>
      <dsp:spPr>
        <a:xfrm>
          <a:off x="5455458" y="560932"/>
          <a:ext cx="132612" cy="105754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57548"/>
              </a:lnTo>
              <a:lnTo>
                <a:pt x="132612" y="105754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833CB5C-BF6D-4796-A3D1-E840B57D7143}">
      <dsp:nvSpPr>
        <dsp:cNvPr id="0" name=""/>
        <dsp:cNvSpPr/>
      </dsp:nvSpPr>
      <dsp:spPr>
        <a:xfrm>
          <a:off x="5588070" y="757918"/>
          <a:ext cx="1702909" cy="172112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100" b="0" i="0" kern="1200">
              <a:latin typeface="Sylfaen" pitchFamily="18" charset="0"/>
            </a:rPr>
            <a:t>დაკორექტირდება (შემცირდება) საწარმოს გამოსაქვითი ხარჯები და დასაბეგრი მოგება და დაერიცხება კუთვნილი გადასახადი</a:t>
          </a:r>
          <a:endParaRPr lang="en-US" sz="1100" b="0" i="0" kern="1200">
            <a:latin typeface="Sylfaen" pitchFamily="18" charset="0"/>
          </a:endParaRPr>
        </a:p>
      </dsp:txBody>
      <dsp:txXfrm>
        <a:off x="5637947" y="807795"/>
        <a:ext cx="1603155" cy="1621370"/>
      </dsp:txXfrm>
    </dsp:sp>
    <dsp:sp modelId="{6A4A5C1A-F165-419D-AF4E-5B55115246BA}">
      <dsp:nvSpPr>
        <dsp:cNvPr id="0" name=""/>
        <dsp:cNvSpPr/>
      </dsp:nvSpPr>
      <dsp:spPr>
        <a:xfrm>
          <a:off x="5455458" y="560932"/>
          <a:ext cx="151372" cy="267074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670746"/>
              </a:lnTo>
              <a:lnTo>
                <a:pt x="151372" y="267074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272F942-0445-4013-9BB5-584A45F92046}">
      <dsp:nvSpPr>
        <dsp:cNvPr id="0" name=""/>
        <dsp:cNvSpPr/>
      </dsp:nvSpPr>
      <dsp:spPr>
        <a:xfrm>
          <a:off x="5606831" y="2644000"/>
          <a:ext cx="1686946" cy="117535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100" kern="1200">
              <a:latin typeface="Sylfaen" pitchFamily="18" charset="0"/>
            </a:rPr>
            <a:t>საწარმო დაჯარიმდება მოგების გადასახადის შემცირების შემთხვევაში სსკ-ის   132-ე მუხლის საფუძველზე</a:t>
          </a:r>
          <a:endParaRPr lang="en-US" sz="1100" kern="1200">
            <a:latin typeface="Sylfaen" pitchFamily="18" charset="0"/>
          </a:endParaRPr>
        </a:p>
      </dsp:txBody>
      <dsp:txXfrm>
        <a:off x="5641256" y="2678425"/>
        <a:ext cx="1618096" cy="110650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FCCAB-AEE9-4A47-95C6-2181D8357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Mof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s.chkhaidze</dc:creator>
  <cp:lastModifiedBy>NIKO</cp:lastModifiedBy>
  <cp:revision>3</cp:revision>
  <cp:lastPrinted>2012-07-19T14:27:00Z</cp:lastPrinted>
  <dcterms:created xsi:type="dcterms:W3CDTF">2013-09-11T08:38:00Z</dcterms:created>
  <dcterms:modified xsi:type="dcterms:W3CDTF">2013-09-12T21:47:00Z</dcterms:modified>
</cp:coreProperties>
</file>