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DB" w:rsidRPr="007576A4" w:rsidRDefault="0062184B" w:rsidP="00F81DDB">
      <w:pPr>
        <w:pStyle w:val="Header"/>
        <w:jc w:val="center"/>
        <w:rPr>
          <w:rFonts w:ascii="Sylfaen" w:hAnsi="Sylfaen"/>
          <w:b/>
          <w:sz w:val="28"/>
          <w:szCs w:val="28"/>
        </w:rPr>
      </w:pPr>
      <w:r>
        <w:rPr>
          <w:rFonts w:ascii="Sylfaen" w:hAnsi="Sylfaen"/>
          <w:b/>
          <w:sz w:val="28"/>
          <w:szCs w:val="28"/>
          <w:lang w:val="ka-GE"/>
        </w:rPr>
        <w:t>მიმდინარე საბანკო ანგარიშზე დარიცხული პროცენტი</w:t>
      </w:r>
      <w:r w:rsidR="00F81DDB">
        <w:rPr>
          <w:rFonts w:ascii="Sylfaen" w:hAnsi="Sylfaen"/>
          <w:b/>
          <w:sz w:val="28"/>
          <w:szCs w:val="28"/>
          <w:lang w:val="ka-GE"/>
        </w:rPr>
        <w:t xml:space="preserve"> 2418</w:t>
      </w:r>
    </w:p>
    <w:p w:rsidR="00F81DDB" w:rsidRDefault="00F81DDB" w:rsidP="00F81DDB">
      <w:pPr>
        <w:ind w:left="-720"/>
      </w:pPr>
      <w:r w:rsidRPr="00F60DBC">
        <w:rPr>
          <w:noProof/>
        </w:rPr>
        <w:drawing>
          <wp:inline distT="0" distB="0" distL="0" distR="0" wp14:anchorId="62D983E6" wp14:editId="4DA5EDCA">
            <wp:extent cx="7058025" cy="8181975"/>
            <wp:effectExtent l="0" t="0" r="9525"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0" w:name="_GoBack"/>
      <w:bookmarkEnd w:id="0"/>
    </w:p>
    <w:sectPr w:rsidR="00F81DDB" w:rsidSect="00552204">
      <w:pgSz w:w="12240" w:h="15840"/>
      <w:pgMar w:top="990" w:right="900" w:bottom="144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89" w:rsidRDefault="00DB5389" w:rsidP="00F81DDB">
      <w:pPr>
        <w:spacing w:after="0" w:line="240" w:lineRule="auto"/>
      </w:pPr>
      <w:r>
        <w:separator/>
      </w:r>
    </w:p>
  </w:endnote>
  <w:endnote w:type="continuationSeparator" w:id="0">
    <w:p w:rsidR="00DB5389" w:rsidRDefault="00DB5389" w:rsidP="00F8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89" w:rsidRDefault="00DB5389" w:rsidP="00F81DDB">
      <w:pPr>
        <w:spacing w:after="0" w:line="240" w:lineRule="auto"/>
      </w:pPr>
      <w:r>
        <w:separator/>
      </w:r>
    </w:p>
  </w:footnote>
  <w:footnote w:type="continuationSeparator" w:id="0">
    <w:p w:rsidR="00DB5389" w:rsidRDefault="00DB5389" w:rsidP="00F81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A2D0E"/>
    <w:multiLevelType w:val="hybridMultilevel"/>
    <w:tmpl w:val="4D2619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BB"/>
    <w:rsid w:val="00043907"/>
    <w:rsid w:val="00047734"/>
    <w:rsid w:val="000636A8"/>
    <w:rsid w:val="00064E66"/>
    <w:rsid w:val="00065427"/>
    <w:rsid w:val="000A5D4E"/>
    <w:rsid w:val="000B710F"/>
    <w:rsid w:val="000C6747"/>
    <w:rsid w:val="000D2060"/>
    <w:rsid w:val="000D6A32"/>
    <w:rsid w:val="000E459F"/>
    <w:rsid w:val="000F13D2"/>
    <w:rsid w:val="000F7A78"/>
    <w:rsid w:val="00104476"/>
    <w:rsid w:val="001065EE"/>
    <w:rsid w:val="00112570"/>
    <w:rsid w:val="0011404B"/>
    <w:rsid w:val="00117F07"/>
    <w:rsid w:val="00123559"/>
    <w:rsid w:val="00130885"/>
    <w:rsid w:val="00131DC9"/>
    <w:rsid w:val="00134277"/>
    <w:rsid w:val="00135FF3"/>
    <w:rsid w:val="00136488"/>
    <w:rsid w:val="00141F9C"/>
    <w:rsid w:val="00151DF5"/>
    <w:rsid w:val="00156DF5"/>
    <w:rsid w:val="0016196D"/>
    <w:rsid w:val="00163683"/>
    <w:rsid w:val="00167DD4"/>
    <w:rsid w:val="00174EAF"/>
    <w:rsid w:val="001843B3"/>
    <w:rsid w:val="00195DB8"/>
    <w:rsid w:val="00196B0F"/>
    <w:rsid w:val="001A0FD4"/>
    <w:rsid w:val="001A2192"/>
    <w:rsid w:val="001D205B"/>
    <w:rsid w:val="002021BC"/>
    <w:rsid w:val="00207DF8"/>
    <w:rsid w:val="00233A0F"/>
    <w:rsid w:val="00234927"/>
    <w:rsid w:val="00267DAB"/>
    <w:rsid w:val="0027092E"/>
    <w:rsid w:val="002731CF"/>
    <w:rsid w:val="002824E2"/>
    <w:rsid w:val="002825C4"/>
    <w:rsid w:val="002A6EEC"/>
    <w:rsid w:val="002C0873"/>
    <w:rsid w:val="002D12D5"/>
    <w:rsid w:val="002E0A47"/>
    <w:rsid w:val="002E32D5"/>
    <w:rsid w:val="002E3BBD"/>
    <w:rsid w:val="003206E4"/>
    <w:rsid w:val="0032081F"/>
    <w:rsid w:val="00323589"/>
    <w:rsid w:val="003354AD"/>
    <w:rsid w:val="003418FB"/>
    <w:rsid w:val="003444D1"/>
    <w:rsid w:val="00351A35"/>
    <w:rsid w:val="0035213B"/>
    <w:rsid w:val="00364513"/>
    <w:rsid w:val="00386968"/>
    <w:rsid w:val="0039069E"/>
    <w:rsid w:val="003911F8"/>
    <w:rsid w:val="00396688"/>
    <w:rsid w:val="003D5135"/>
    <w:rsid w:val="003E4969"/>
    <w:rsid w:val="003E4B6E"/>
    <w:rsid w:val="003F743E"/>
    <w:rsid w:val="004044C7"/>
    <w:rsid w:val="00413C64"/>
    <w:rsid w:val="0042297F"/>
    <w:rsid w:val="0044408A"/>
    <w:rsid w:val="00451E87"/>
    <w:rsid w:val="004B0446"/>
    <w:rsid w:val="004B24EF"/>
    <w:rsid w:val="004C3DAF"/>
    <w:rsid w:val="004C5832"/>
    <w:rsid w:val="004C681F"/>
    <w:rsid w:val="004E7763"/>
    <w:rsid w:val="004F0D96"/>
    <w:rsid w:val="00512105"/>
    <w:rsid w:val="00531085"/>
    <w:rsid w:val="005460C6"/>
    <w:rsid w:val="00552204"/>
    <w:rsid w:val="00557EA1"/>
    <w:rsid w:val="0057023B"/>
    <w:rsid w:val="005950C9"/>
    <w:rsid w:val="005A011C"/>
    <w:rsid w:val="005A76DE"/>
    <w:rsid w:val="005E3DA5"/>
    <w:rsid w:val="005F456A"/>
    <w:rsid w:val="006127F9"/>
    <w:rsid w:val="0062184B"/>
    <w:rsid w:val="006248E1"/>
    <w:rsid w:val="00627731"/>
    <w:rsid w:val="006336DF"/>
    <w:rsid w:val="0065521F"/>
    <w:rsid w:val="00660778"/>
    <w:rsid w:val="006748AF"/>
    <w:rsid w:val="00684392"/>
    <w:rsid w:val="006922AC"/>
    <w:rsid w:val="006A5BD2"/>
    <w:rsid w:val="006B2F87"/>
    <w:rsid w:val="006B5CFA"/>
    <w:rsid w:val="006B6D17"/>
    <w:rsid w:val="006C3BA2"/>
    <w:rsid w:val="006F090C"/>
    <w:rsid w:val="006F322F"/>
    <w:rsid w:val="006F6A45"/>
    <w:rsid w:val="00735A56"/>
    <w:rsid w:val="00736A07"/>
    <w:rsid w:val="007411C8"/>
    <w:rsid w:val="00755019"/>
    <w:rsid w:val="0075508E"/>
    <w:rsid w:val="007577A3"/>
    <w:rsid w:val="00761B47"/>
    <w:rsid w:val="0077375F"/>
    <w:rsid w:val="00773915"/>
    <w:rsid w:val="00774F6B"/>
    <w:rsid w:val="00775196"/>
    <w:rsid w:val="007858F5"/>
    <w:rsid w:val="00794568"/>
    <w:rsid w:val="00796398"/>
    <w:rsid w:val="007B429F"/>
    <w:rsid w:val="007B7110"/>
    <w:rsid w:val="007B781E"/>
    <w:rsid w:val="007E0ABA"/>
    <w:rsid w:val="007F3C29"/>
    <w:rsid w:val="00801E3F"/>
    <w:rsid w:val="00802F9C"/>
    <w:rsid w:val="0080452C"/>
    <w:rsid w:val="008156C6"/>
    <w:rsid w:val="008161A7"/>
    <w:rsid w:val="008316FF"/>
    <w:rsid w:val="0084421D"/>
    <w:rsid w:val="00850029"/>
    <w:rsid w:val="0085374F"/>
    <w:rsid w:val="00854695"/>
    <w:rsid w:val="008602FC"/>
    <w:rsid w:val="0087617B"/>
    <w:rsid w:val="00893B3B"/>
    <w:rsid w:val="00896E0C"/>
    <w:rsid w:val="008A0353"/>
    <w:rsid w:val="008A66C8"/>
    <w:rsid w:val="008B63C2"/>
    <w:rsid w:val="008B6719"/>
    <w:rsid w:val="008E21DA"/>
    <w:rsid w:val="009006B8"/>
    <w:rsid w:val="00901D77"/>
    <w:rsid w:val="00915D05"/>
    <w:rsid w:val="00953BAB"/>
    <w:rsid w:val="00956B68"/>
    <w:rsid w:val="00967CAD"/>
    <w:rsid w:val="00972196"/>
    <w:rsid w:val="00972E6E"/>
    <w:rsid w:val="009A4729"/>
    <w:rsid w:val="009A553B"/>
    <w:rsid w:val="009A6932"/>
    <w:rsid w:val="009E03C6"/>
    <w:rsid w:val="009F5F2F"/>
    <w:rsid w:val="00A07CBC"/>
    <w:rsid w:val="00A14122"/>
    <w:rsid w:val="00A149CB"/>
    <w:rsid w:val="00A17EB1"/>
    <w:rsid w:val="00A34BDF"/>
    <w:rsid w:val="00A351C4"/>
    <w:rsid w:val="00A369A5"/>
    <w:rsid w:val="00A56649"/>
    <w:rsid w:val="00A57836"/>
    <w:rsid w:val="00A6324D"/>
    <w:rsid w:val="00A900F2"/>
    <w:rsid w:val="00A92DCD"/>
    <w:rsid w:val="00A97141"/>
    <w:rsid w:val="00A97E58"/>
    <w:rsid w:val="00AA053C"/>
    <w:rsid w:val="00AA44B3"/>
    <w:rsid w:val="00AA542D"/>
    <w:rsid w:val="00AB2EB8"/>
    <w:rsid w:val="00AD0A49"/>
    <w:rsid w:val="00AF5ADE"/>
    <w:rsid w:val="00AF5DDB"/>
    <w:rsid w:val="00B208CA"/>
    <w:rsid w:val="00B326EA"/>
    <w:rsid w:val="00B3623B"/>
    <w:rsid w:val="00B53871"/>
    <w:rsid w:val="00B90816"/>
    <w:rsid w:val="00B95A19"/>
    <w:rsid w:val="00BA1EE7"/>
    <w:rsid w:val="00BB2A9D"/>
    <w:rsid w:val="00BC06D2"/>
    <w:rsid w:val="00BD2650"/>
    <w:rsid w:val="00BE6B16"/>
    <w:rsid w:val="00BE712F"/>
    <w:rsid w:val="00BF7E81"/>
    <w:rsid w:val="00C00FB7"/>
    <w:rsid w:val="00C1174F"/>
    <w:rsid w:val="00C241EC"/>
    <w:rsid w:val="00C3351A"/>
    <w:rsid w:val="00C4319D"/>
    <w:rsid w:val="00C50F0F"/>
    <w:rsid w:val="00C52F50"/>
    <w:rsid w:val="00C54CC2"/>
    <w:rsid w:val="00C77D30"/>
    <w:rsid w:val="00CA5132"/>
    <w:rsid w:val="00CD7460"/>
    <w:rsid w:val="00CE0A60"/>
    <w:rsid w:val="00CF0867"/>
    <w:rsid w:val="00CF0EBB"/>
    <w:rsid w:val="00CF36F7"/>
    <w:rsid w:val="00D015BB"/>
    <w:rsid w:val="00D05690"/>
    <w:rsid w:val="00D12CFD"/>
    <w:rsid w:val="00D167BF"/>
    <w:rsid w:val="00D36D3A"/>
    <w:rsid w:val="00D45372"/>
    <w:rsid w:val="00D52DB0"/>
    <w:rsid w:val="00D53734"/>
    <w:rsid w:val="00D62766"/>
    <w:rsid w:val="00D70CA0"/>
    <w:rsid w:val="00D777EC"/>
    <w:rsid w:val="00D82B40"/>
    <w:rsid w:val="00D833A6"/>
    <w:rsid w:val="00D852A2"/>
    <w:rsid w:val="00D9642C"/>
    <w:rsid w:val="00DA7F67"/>
    <w:rsid w:val="00DB184C"/>
    <w:rsid w:val="00DB3060"/>
    <w:rsid w:val="00DB3B32"/>
    <w:rsid w:val="00DB5389"/>
    <w:rsid w:val="00DC016D"/>
    <w:rsid w:val="00DC34AA"/>
    <w:rsid w:val="00DD085F"/>
    <w:rsid w:val="00DD2562"/>
    <w:rsid w:val="00DE34EE"/>
    <w:rsid w:val="00DE3BCA"/>
    <w:rsid w:val="00DF703B"/>
    <w:rsid w:val="00E1657B"/>
    <w:rsid w:val="00E1708D"/>
    <w:rsid w:val="00E17239"/>
    <w:rsid w:val="00E23E29"/>
    <w:rsid w:val="00E55B41"/>
    <w:rsid w:val="00E6142C"/>
    <w:rsid w:val="00E73B64"/>
    <w:rsid w:val="00EA51CB"/>
    <w:rsid w:val="00ED6E00"/>
    <w:rsid w:val="00ED793D"/>
    <w:rsid w:val="00EE36CC"/>
    <w:rsid w:val="00EF076B"/>
    <w:rsid w:val="00EF0810"/>
    <w:rsid w:val="00EF7ECC"/>
    <w:rsid w:val="00F23D78"/>
    <w:rsid w:val="00F24B2D"/>
    <w:rsid w:val="00F44207"/>
    <w:rsid w:val="00F47BA4"/>
    <w:rsid w:val="00F51B3D"/>
    <w:rsid w:val="00F65400"/>
    <w:rsid w:val="00F7125A"/>
    <w:rsid w:val="00F767F1"/>
    <w:rsid w:val="00F81DDB"/>
    <w:rsid w:val="00F90025"/>
    <w:rsid w:val="00F90F52"/>
    <w:rsid w:val="00F96813"/>
    <w:rsid w:val="00FA017D"/>
    <w:rsid w:val="00FA7F6A"/>
    <w:rsid w:val="00FB0AB6"/>
    <w:rsid w:val="00FC1F7F"/>
    <w:rsid w:val="00FF068C"/>
    <w:rsid w:val="00FF1564"/>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CA"/>
    <w:pPr>
      <w:ind w:left="720"/>
      <w:contextualSpacing/>
    </w:pPr>
  </w:style>
  <w:style w:type="paragraph" w:styleId="BodyTextIndent">
    <w:name w:val="Body Text Indent"/>
    <w:basedOn w:val="Normal"/>
    <w:link w:val="BodyTextIndentChar"/>
    <w:rsid w:val="009A4729"/>
    <w:pPr>
      <w:spacing w:after="0" w:line="360" w:lineRule="auto"/>
      <w:ind w:left="2160" w:hanging="1440"/>
      <w:jc w:val="both"/>
    </w:pPr>
    <w:rPr>
      <w:rFonts w:ascii="Sylfaen" w:eastAsia="Times New Roman" w:hAnsi="Sylfaen" w:cs="Times New Roman"/>
      <w:szCs w:val="24"/>
      <w:lang w:val="ka-GE"/>
    </w:rPr>
  </w:style>
  <w:style w:type="character" w:customStyle="1" w:styleId="BodyTextIndentChar">
    <w:name w:val="Body Text Indent Char"/>
    <w:basedOn w:val="DefaultParagraphFont"/>
    <w:link w:val="BodyTextIndent"/>
    <w:rsid w:val="009A4729"/>
    <w:rPr>
      <w:rFonts w:ascii="Sylfaen" w:eastAsia="Times New Roman" w:hAnsi="Sylfaen" w:cs="Times New Roman"/>
      <w:szCs w:val="24"/>
      <w:lang w:val="ka-GE"/>
    </w:rPr>
  </w:style>
  <w:style w:type="paragraph" w:styleId="BalloonText">
    <w:name w:val="Balloon Text"/>
    <w:basedOn w:val="Normal"/>
    <w:link w:val="BalloonTextChar"/>
    <w:uiPriority w:val="99"/>
    <w:semiHidden/>
    <w:unhideWhenUsed/>
    <w:rsid w:val="00BE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16"/>
    <w:rPr>
      <w:rFonts w:ascii="Tahoma" w:hAnsi="Tahoma" w:cs="Tahoma"/>
      <w:sz w:val="16"/>
      <w:szCs w:val="16"/>
    </w:rPr>
  </w:style>
  <w:style w:type="paragraph" w:styleId="Header">
    <w:name w:val="header"/>
    <w:basedOn w:val="Normal"/>
    <w:link w:val="HeaderChar"/>
    <w:uiPriority w:val="99"/>
    <w:unhideWhenUsed/>
    <w:rsid w:val="00F8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DDB"/>
  </w:style>
  <w:style w:type="paragraph" w:styleId="Footer">
    <w:name w:val="footer"/>
    <w:basedOn w:val="Normal"/>
    <w:link w:val="FooterChar"/>
    <w:uiPriority w:val="99"/>
    <w:unhideWhenUsed/>
    <w:rsid w:val="00F8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CA"/>
    <w:pPr>
      <w:ind w:left="720"/>
      <w:contextualSpacing/>
    </w:pPr>
  </w:style>
  <w:style w:type="paragraph" w:styleId="BodyTextIndent">
    <w:name w:val="Body Text Indent"/>
    <w:basedOn w:val="Normal"/>
    <w:link w:val="BodyTextIndentChar"/>
    <w:rsid w:val="009A4729"/>
    <w:pPr>
      <w:spacing w:after="0" w:line="360" w:lineRule="auto"/>
      <w:ind w:left="2160" w:hanging="1440"/>
      <w:jc w:val="both"/>
    </w:pPr>
    <w:rPr>
      <w:rFonts w:ascii="Sylfaen" w:eastAsia="Times New Roman" w:hAnsi="Sylfaen" w:cs="Times New Roman"/>
      <w:szCs w:val="24"/>
      <w:lang w:val="ka-GE"/>
    </w:rPr>
  </w:style>
  <w:style w:type="character" w:customStyle="1" w:styleId="BodyTextIndentChar">
    <w:name w:val="Body Text Indent Char"/>
    <w:basedOn w:val="DefaultParagraphFont"/>
    <w:link w:val="BodyTextIndent"/>
    <w:rsid w:val="009A4729"/>
    <w:rPr>
      <w:rFonts w:ascii="Sylfaen" w:eastAsia="Times New Roman" w:hAnsi="Sylfaen" w:cs="Times New Roman"/>
      <w:szCs w:val="24"/>
      <w:lang w:val="ka-GE"/>
    </w:rPr>
  </w:style>
  <w:style w:type="paragraph" w:styleId="BalloonText">
    <w:name w:val="Balloon Text"/>
    <w:basedOn w:val="Normal"/>
    <w:link w:val="BalloonTextChar"/>
    <w:uiPriority w:val="99"/>
    <w:semiHidden/>
    <w:unhideWhenUsed/>
    <w:rsid w:val="00BE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16"/>
    <w:rPr>
      <w:rFonts w:ascii="Tahoma" w:hAnsi="Tahoma" w:cs="Tahoma"/>
      <w:sz w:val="16"/>
      <w:szCs w:val="16"/>
    </w:rPr>
  </w:style>
  <w:style w:type="paragraph" w:styleId="Header">
    <w:name w:val="header"/>
    <w:basedOn w:val="Normal"/>
    <w:link w:val="HeaderChar"/>
    <w:uiPriority w:val="99"/>
    <w:unhideWhenUsed/>
    <w:rsid w:val="00F8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DDB"/>
  </w:style>
  <w:style w:type="paragraph" w:styleId="Footer">
    <w:name w:val="footer"/>
    <w:basedOn w:val="Normal"/>
    <w:link w:val="FooterChar"/>
    <w:uiPriority w:val="99"/>
    <w:unhideWhenUsed/>
    <w:rsid w:val="00F8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2C8C0F-097D-4DC9-9C67-E8D19F63413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6EDDC9A4-7743-45A1-A47F-DDC8AA334378}">
      <dgm:prSet phldrT="[Text]" custT="1"/>
      <dgm:spPr>
        <a:solidFill>
          <a:schemeClr val="accent6">
            <a:lumMod val="75000"/>
          </a:schemeClr>
        </a:solidFill>
      </dgm:spPr>
      <dgm:t>
        <a:bodyPr/>
        <a:lstStyle/>
        <a:p>
          <a:r>
            <a:rPr lang="ka-GE" sz="1200" b="1">
              <a:latin typeface="Sylfaen" pitchFamily="18" charset="0"/>
            </a:rPr>
            <a:t>ფაქტობრივი </a:t>
          </a:r>
        </a:p>
        <a:p>
          <a:r>
            <a:rPr lang="ka-GE" sz="1200" b="1">
              <a:latin typeface="Sylfaen" pitchFamily="18" charset="0"/>
            </a:rPr>
            <a:t>გარემოებები</a:t>
          </a:r>
          <a:endParaRPr lang="en-US" sz="1200" b="1">
            <a:latin typeface="Sylfaen" pitchFamily="18" charset="0"/>
          </a:endParaRPr>
        </a:p>
      </dgm:t>
    </dgm:pt>
    <dgm:pt modelId="{3A48E9A3-A638-4BBF-9C68-D8F4933C7E36}" type="parTrans" cxnId="{D2427F20-B0E2-435A-87EE-9CF9178695AB}">
      <dgm:prSet/>
      <dgm:spPr/>
      <dgm:t>
        <a:bodyPr/>
        <a:lstStyle/>
        <a:p>
          <a:endParaRPr lang="en-US" sz="1100" b="1"/>
        </a:p>
      </dgm:t>
    </dgm:pt>
    <dgm:pt modelId="{D05AD119-BE24-43D7-9E4E-8F0C25949A32}" type="sibTrans" cxnId="{D2427F20-B0E2-435A-87EE-9CF9178695AB}">
      <dgm:prSet/>
      <dgm:spPr/>
      <dgm:t>
        <a:bodyPr/>
        <a:lstStyle/>
        <a:p>
          <a:endParaRPr lang="en-US" sz="1100" b="1"/>
        </a:p>
      </dgm:t>
    </dgm:pt>
    <dgm:pt modelId="{0864151C-55A8-4402-A51E-35DDE1DCFDCF}">
      <dgm:prSet phldrT="[Text]" custT="1"/>
      <dgm:spPr>
        <a:solidFill>
          <a:schemeClr val="accent6">
            <a:lumMod val="75000"/>
          </a:schemeClr>
        </a:solidFill>
      </dgm:spPr>
      <dgm:t>
        <a:bodyPr/>
        <a:lstStyle/>
        <a:p>
          <a:r>
            <a:rPr lang="ka-GE" sz="1200" b="1">
              <a:latin typeface="Sylfaen" pitchFamily="18" charset="0"/>
            </a:rPr>
            <a:t>შეფასება</a:t>
          </a:r>
          <a:endParaRPr lang="en-US" sz="1200" b="1">
            <a:latin typeface="Sylfaen" pitchFamily="18" charset="0"/>
          </a:endParaRPr>
        </a:p>
      </dgm:t>
    </dgm:pt>
    <dgm:pt modelId="{F7BDD5F8-65A4-4108-AE7C-CFA0F4388FB8}" type="parTrans" cxnId="{03607AEF-07AD-4BDB-A89D-B209BC79EF53}">
      <dgm:prSet/>
      <dgm:spPr/>
      <dgm:t>
        <a:bodyPr/>
        <a:lstStyle/>
        <a:p>
          <a:endParaRPr lang="en-US" sz="1100" b="1"/>
        </a:p>
      </dgm:t>
    </dgm:pt>
    <dgm:pt modelId="{0A05DBC0-5F35-4A5D-A28B-267431B26F59}" type="sibTrans" cxnId="{03607AEF-07AD-4BDB-A89D-B209BC79EF53}">
      <dgm:prSet/>
      <dgm:spPr/>
      <dgm:t>
        <a:bodyPr/>
        <a:lstStyle/>
        <a:p>
          <a:endParaRPr lang="en-US" sz="1100" b="1"/>
        </a:p>
      </dgm:t>
    </dgm:pt>
    <dgm:pt modelId="{E40EDAB5-D188-4812-A61A-95A9AC19C0AE}">
      <dgm:prSet custT="1"/>
      <dgm:spPr>
        <a:solidFill>
          <a:schemeClr val="accent6">
            <a:lumMod val="75000"/>
          </a:schemeClr>
        </a:solidFill>
      </dgm:spPr>
      <dgm:t>
        <a:bodyPr/>
        <a:lstStyle/>
        <a:p>
          <a:r>
            <a:rPr lang="ka-GE" sz="1200" b="1">
              <a:latin typeface="Sylfaen" pitchFamily="18" charset="0"/>
            </a:rPr>
            <a:t>ღონისძიებები</a:t>
          </a:r>
          <a:endParaRPr lang="en-US" sz="1200" b="1">
            <a:latin typeface="Sylfaen" pitchFamily="18" charset="0"/>
          </a:endParaRPr>
        </a:p>
      </dgm:t>
    </dgm:pt>
    <dgm:pt modelId="{FAE3ACFB-230C-407E-8CBC-952817FA18AA}" type="parTrans" cxnId="{7A73B562-EACC-4904-8BB8-3FDFE7398C28}">
      <dgm:prSet/>
      <dgm:spPr/>
      <dgm:t>
        <a:bodyPr/>
        <a:lstStyle/>
        <a:p>
          <a:endParaRPr lang="en-US" sz="1100" b="1"/>
        </a:p>
      </dgm:t>
    </dgm:pt>
    <dgm:pt modelId="{342C2EFC-EB00-410F-82E6-57D5275D470B}" type="sibTrans" cxnId="{7A73B562-EACC-4904-8BB8-3FDFE7398C28}">
      <dgm:prSet/>
      <dgm:spPr/>
      <dgm:t>
        <a:bodyPr/>
        <a:lstStyle/>
        <a:p>
          <a:endParaRPr lang="en-US" sz="1100" b="1"/>
        </a:p>
      </dgm:t>
    </dgm:pt>
    <dgm:pt modelId="{B4D11B42-E642-4237-B8F9-795C9B3B1616}">
      <dgm:prSet custT="1"/>
      <dgm:spPr/>
      <dgm:t>
        <a:bodyPr/>
        <a:lstStyle/>
        <a:p>
          <a:r>
            <a:rPr lang="en-US" sz="1100" b="0">
              <a:latin typeface="AcadNusx" pitchFamily="2" charset="0"/>
            </a:rPr>
            <a:t>პ</a:t>
          </a:r>
          <a:r>
            <a:rPr lang="ka-GE" sz="1100" b="0">
              <a:latin typeface="AcadNusx" pitchFamily="2" charset="0"/>
            </a:rPr>
            <a:t>ირის ქმედებაში საგადასახადო სამართალდარღვევა არ იკვეთება და დამატებითი ვალდებულებების დაკისრება არ ხდება</a:t>
          </a:r>
          <a:endParaRPr lang="de-DE" sz="1100" b="0">
            <a:latin typeface="Sylfaen" pitchFamily="18" charset="0"/>
          </a:endParaRPr>
        </a:p>
      </dgm:t>
    </dgm:pt>
    <dgm:pt modelId="{63BFCA6C-BEC4-435A-8E72-0F4C0248610F}" type="parTrans" cxnId="{C635285C-E76F-438F-AD88-49B501D4FCD4}">
      <dgm:prSet/>
      <dgm:spPr/>
      <dgm:t>
        <a:bodyPr/>
        <a:lstStyle/>
        <a:p>
          <a:endParaRPr lang="en-US" sz="1100" b="1"/>
        </a:p>
      </dgm:t>
    </dgm:pt>
    <dgm:pt modelId="{AABBDE0A-B9EF-4CAF-B4FA-89ECFE64C588}" type="sibTrans" cxnId="{C635285C-E76F-438F-AD88-49B501D4FCD4}">
      <dgm:prSet/>
      <dgm:spPr/>
      <dgm:t>
        <a:bodyPr/>
        <a:lstStyle/>
        <a:p>
          <a:endParaRPr lang="en-US" sz="1100" b="1"/>
        </a:p>
      </dgm:t>
    </dgm:pt>
    <dgm:pt modelId="{526AEFD8-0D0C-4CE6-97C7-40E25F115372}">
      <dgm:prSet custT="1"/>
      <dgm:spPr/>
      <dgm:t>
        <a:bodyPr/>
        <a:lstStyle/>
        <a:p>
          <a:r>
            <a:rPr lang="ka-GE" sz="1100" b="0">
              <a:latin typeface="Sylfaen" pitchFamily="18" charset="0"/>
            </a:rPr>
            <a:t>სსკ-ის მე-8 მუხლის მე -19 ნაწილის შესაბამისად პროცენტს წარმოადგენს ფულად დაბანდებებთან ან სავალო ვალდებულებებთან დაკავშირებული ნებისმიერი სახის სავალო მოთხოვნიდან (იპოთეკური უზრუნველყოფის არსებობისა და მისი გაფორმების მეთოდის მიუხედავად) მიღებული ნებისმიერი წინასწარ განცხადებული (დადგენილი) შემოსავალი (მათ შორის, დისკონტის სახით მიღებული)</a:t>
          </a:r>
          <a:endParaRPr lang="de-DE" sz="1100" b="0">
            <a:latin typeface="Sylfaen" pitchFamily="18" charset="0"/>
          </a:endParaRPr>
        </a:p>
      </dgm:t>
    </dgm:pt>
    <dgm:pt modelId="{9609D6F0-EC16-41E5-A0A9-4B5E04E9EC06}" type="parTrans" cxnId="{3723C636-85FD-42D9-839B-17F2FC9CFC17}">
      <dgm:prSet/>
      <dgm:spPr/>
      <dgm:t>
        <a:bodyPr/>
        <a:lstStyle/>
        <a:p>
          <a:endParaRPr lang="en-US" sz="1100" b="1"/>
        </a:p>
      </dgm:t>
    </dgm:pt>
    <dgm:pt modelId="{1981996B-FC11-4317-A929-EA6D94549F39}" type="sibTrans" cxnId="{3723C636-85FD-42D9-839B-17F2FC9CFC17}">
      <dgm:prSet/>
      <dgm:spPr/>
      <dgm:t>
        <a:bodyPr/>
        <a:lstStyle/>
        <a:p>
          <a:endParaRPr lang="en-US" sz="1100" b="1"/>
        </a:p>
      </dgm:t>
    </dgm:pt>
    <dgm:pt modelId="{FEABC0E6-7B70-44F3-B8B5-8EBCD8C6550A}">
      <dgm:prSet phldrT="[Text]" custT="1"/>
      <dgm:spPr/>
      <dgm:t>
        <a:bodyPr/>
        <a:lstStyle/>
        <a:p>
          <a:r>
            <a:rPr lang="ka-GE" sz="1100" b="0">
              <a:latin typeface="Sylfaen" pitchFamily="18" charset="0"/>
            </a:rPr>
            <a:t>სახელშეკრულებო პირობების საფუძველზე პირის მიმდინარე (საბანკო) ანგარიშზე არსებულ თანხაზე საბანკო დაწესებულება ახდენს სარგებლის დარიცხვას</a:t>
          </a:r>
          <a:endParaRPr lang="en-US" sz="1100" b="0">
            <a:latin typeface="Sylfaen" pitchFamily="18" charset="0"/>
          </a:endParaRPr>
        </a:p>
      </dgm:t>
    </dgm:pt>
    <dgm:pt modelId="{CC775E11-A20C-4EA5-B77A-7381C0F1923A}" type="sibTrans" cxnId="{5E5959E0-EE49-41C5-BBC0-188479458CB6}">
      <dgm:prSet/>
      <dgm:spPr/>
      <dgm:t>
        <a:bodyPr/>
        <a:lstStyle/>
        <a:p>
          <a:endParaRPr lang="en-US" sz="1100" b="1"/>
        </a:p>
      </dgm:t>
    </dgm:pt>
    <dgm:pt modelId="{D0F3CCD6-9413-42AD-AE48-0BE3FC72830A}" type="parTrans" cxnId="{5E5959E0-EE49-41C5-BBC0-188479458CB6}">
      <dgm:prSet/>
      <dgm:spPr/>
      <dgm:t>
        <a:bodyPr/>
        <a:lstStyle/>
        <a:p>
          <a:endParaRPr lang="en-US" sz="1100" b="1"/>
        </a:p>
      </dgm:t>
    </dgm:pt>
    <dgm:pt modelId="{8F8B65EA-E11E-4B23-98AB-58A8C6A92C1A}">
      <dgm:prSet custT="1"/>
      <dgm:spPr/>
      <dgm:t>
        <a:bodyPr/>
        <a:lstStyle/>
        <a:p>
          <a:r>
            <a:rPr lang="ka-GE" sz="1100" b="0">
              <a:latin typeface="Sylfaen" pitchFamily="18" charset="0"/>
            </a:rPr>
            <a:t>ბანკმა დარიცხული სარგებელი ჩათვალა პროცენტის სახით განაცემად და სსკ-ის 131-ე მუხლის მე-5 ნაწილის შესაბამისად არ დაბეგრა გადახდის წყაროსთან </a:t>
          </a:r>
          <a:endParaRPr lang="en-US" sz="1100" b="0">
            <a:latin typeface="Sylfaen" pitchFamily="18" charset="0"/>
          </a:endParaRPr>
        </a:p>
      </dgm:t>
    </dgm:pt>
    <dgm:pt modelId="{15C3C164-E8A4-450C-AE25-B68D6FA736BD}" type="parTrans" cxnId="{799529BE-633D-4CFA-A733-AE77990E05EB}">
      <dgm:prSet/>
      <dgm:spPr/>
      <dgm:t>
        <a:bodyPr/>
        <a:lstStyle/>
        <a:p>
          <a:endParaRPr lang="en-US" sz="1100" b="1"/>
        </a:p>
      </dgm:t>
    </dgm:pt>
    <dgm:pt modelId="{2E3B712C-CEE7-4123-8A21-3BABAAB4E09C}" type="sibTrans" cxnId="{799529BE-633D-4CFA-A733-AE77990E05EB}">
      <dgm:prSet/>
      <dgm:spPr/>
      <dgm:t>
        <a:bodyPr/>
        <a:lstStyle/>
        <a:p>
          <a:endParaRPr lang="en-US" sz="1100" b="1"/>
        </a:p>
      </dgm:t>
    </dgm:pt>
    <dgm:pt modelId="{75FADC6A-B993-4489-8516-FC5D7FB78EF3}">
      <dgm:prSet custT="1"/>
      <dgm:spPr/>
      <dgm:t>
        <a:bodyPr/>
        <a:lstStyle/>
        <a:p>
          <a:r>
            <a:rPr lang="en-US" sz="1100" b="0">
              <a:latin typeface="AcadNusx" pitchFamily="2" charset="0"/>
            </a:rPr>
            <a:t>ი</a:t>
          </a:r>
          <a:r>
            <a:rPr lang="ka-GE" sz="1100" b="0">
              <a:latin typeface="AcadNusx" pitchFamily="2" charset="0"/>
            </a:rPr>
            <a:t>მის გათვალისწინებით, რომ საწარმოს მიმდინარე ანგარიშზე დარიცხული სარგებელი თავისი შინაარსით წარმოადგენს ფულადი სახსრების სარგებლობისათვის განაცემს, სსკ-ის 73-ე მუხლის საფუძველზე იგი განხილულ უნდა იქნეს პროცენტის სახით განაცემად </a:t>
          </a:r>
          <a:endParaRPr lang="ka-GE" sz="1100" b="0">
            <a:latin typeface="Sylfaen" pitchFamily="18" charset="0"/>
          </a:endParaRPr>
        </a:p>
      </dgm:t>
    </dgm:pt>
    <dgm:pt modelId="{26C12E29-FA92-428F-8CB8-F22FEC256479}" type="parTrans" cxnId="{1D3C10C7-B581-46A3-9832-796E04617DC7}">
      <dgm:prSet/>
      <dgm:spPr/>
      <dgm:t>
        <a:bodyPr/>
        <a:lstStyle/>
        <a:p>
          <a:endParaRPr lang="en-US"/>
        </a:p>
      </dgm:t>
    </dgm:pt>
    <dgm:pt modelId="{4DD37F6C-529F-4ADC-8F07-7FBE27BF656A}" type="sibTrans" cxnId="{1D3C10C7-B581-46A3-9832-796E04617DC7}">
      <dgm:prSet/>
      <dgm:spPr/>
      <dgm:t>
        <a:bodyPr/>
        <a:lstStyle/>
        <a:p>
          <a:endParaRPr lang="en-US"/>
        </a:p>
      </dgm:t>
    </dgm:pt>
    <dgm:pt modelId="{B388476D-662D-499E-86FF-075E40B9B116}" type="pres">
      <dgm:prSet presAssocID="{AF2C8C0F-097D-4DC9-9C67-E8D19F634135}" presName="diagram" presStyleCnt="0">
        <dgm:presLayoutVars>
          <dgm:chPref val="1"/>
          <dgm:dir/>
          <dgm:animOne val="branch"/>
          <dgm:animLvl val="lvl"/>
          <dgm:resizeHandles/>
        </dgm:presLayoutVars>
      </dgm:prSet>
      <dgm:spPr/>
      <dgm:t>
        <a:bodyPr/>
        <a:lstStyle/>
        <a:p>
          <a:endParaRPr lang="en-US"/>
        </a:p>
      </dgm:t>
    </dgm:pt>
    <dgm:pt modelId="{4CCE11F2-9671-4C6B-9F76-2C10D78361EF}" type="pres">
      <dgm:prSet presAssocID="{6EDDC9A4-7743-45A1-A47F-DDC8AA334378}" presName="root" presStyleCnt="0"/>
      <dgm:spPr/>
    </dgm:pt>
    <dgm:pt modelId="{C557614C-F630-4D5F-BE22-AB9FC945D279}" type="pres">
      <dgm:prSet presAssocID="{6EDDC9A4-7743-45A1-A47F-DDC8AA334378}" presName="rootComposite" presStyleCnt="0"/>
      <dgm:spPr/>
    </dgm:pt>
    <dgm:pt modelId="{1A83EF98-3231-40EA-B1D6-7E43DBA651A6}" type="pres">
      <dgm:prSet presAssocID="{6EDDC9A4-7743-45A1-A47F-DDC8AA334378}" presName="rootText" presStyleLbl="node1" presStyleIdx="0" presStyleCnt="3" custScaleX="153338" custScaleY="73025" custLinFactY="-92325" custLinFactNeighborX="-370" custLinFactNeighborY="-100000"/>
      <dgm:spPr/>
      <dgm:t>
        <a:bodyPr/>
        <a:lstStyle/>
        <a:p>
          <a:endParaRPr lang="en-US"/>
        </a:p>
      </dgm:t>
    </dgm:pt>
    <dgm:pt modelId="{8E010497-E5A8-4319-AFB0-5D34092ECD88}" type="pres">
      <dgm:prSet presAssocID="{6EDDC9A4-7743-45A1-A47F-DDC8AA334378}" presName="rootConnector" presStyleLbl="node1" presStyleIdx="0" presStyleCnt="3"/>
      <dgm:spPr/>
      <dgm:t>
        <a:bodyPr/>
        <a:lstStyle/>
        <a:p>
          <a:endParaRPr lang="en-US"/>
        </a:p>
      </dgm:t>
    </dgm:pt>
    <dgm:pt modelId="{2F8125D7-8EE8-4988-87E0-9DDFA76BED4A}" type="pres">
      <dgm:prSet presAssocID="{6EDDC9A4-7743-45A1-A47F-DDC8AA334378}" presName="childShape" presStyleCnt="0"/>
      <dgm:spPr/>
    </dgm:pt>
    <dgm:pt modelId="{934F8C64-EA97-4C0F-8892-ABF906E6ACBF}" type="pres">
      <dgm:prSet presAssocID="{D0F3CCD6-9413-42AD-AE48-0BE3FC72830A}" presName="Name13" presStyleLbl="parChTrans1D2" presStyleIdx="0" presStyleCnt="5"/>
      <dgm:spPr/>
      <dgm:t>
        <a:bodyPr/>
        <a:lstStyle/>
        <a:p>
          <a:endParaRPr lang="en-US"/>
        </a:p>
      </dgm:t>
    </dgm:pt>
    <dgm:pt modelId="{FB6A285C-5183-4322-9201-942A845FA662}" type="pres">
      <dgm:prSet presAssocID="{FEABC0E6-7B70-44F3-B8B5-8EBCD8C6550A}" presName="childText" presStyleLbl="bgAcc1" presStyleIdx="0" presStyleCnt="5" custAng="0" custScaleX="232186" custScaleY="180343" custLinFactY="-31746" custLinFactNeighborX="-6203" custLinFactNeighborY="-100000">
        <dgm:presLayoutVars>
          <dgm:bulletEnabled val="1"/>
        </dgm:presLayoutVars>
      </dgm:prSet>
      <dgm:spPr/>
      <dgm:t>
        <a:bodyPr/>
        <a:lstStyle/>
        <a:p>
          <a:endParaRPr lang="en-US"/>
        </a:p>
      </dgm:t>
    </dgm:pt>
    <dgm:pt modelId="{4DEA7E4A-FADE-48EA-B13C-A183A7A267EA}" type="pres">
      <dgm:prSet presAssocID="{15C3C164-E8A4-450C-AE25-B68D6FA736BD}" presName="Name13" presStyleLbl="parChTrans1D2" presStyleIdx="1" presStyleCnt="5"/>
      <dgm:spPr/>
      <dgm:t>
        <a:bodyPr/>
        <a:lstStyle/>
        <a:p>
          <a:endParaRPr lang="en-US"/>
        </a:p>
      </dgm:t>
    </dgm:pt>
    <dgm:pt modelId="{20593880-3E6F-43D9-8616-5EC16F61B1C0}" type="pres">
      <dgm:prSet presAssocID="{8F8B65EA-E11E-4B23-98AB-58A8C6A92C1A}" presName="childText" presStyleLbl="bgAcc1" presStyleIdx="1" presStyleCnt="5" custScaleX="223583" custScaleY="217768" custLinFactY="-3969" custLinFactNeighborX="1195" custLinFactNeighborY="-100000">
        <dgm:presLayoutVars>
          <dgm:bulletEnabled val="1"/>
        </dgm:presLayoutVars>
      </dgm:prSet>
      <dgm:spPr/>
      <dgm:t>
        <a:bodyPr/>
        <a:lstStyle/>
        <a:p>
          <a:endParaRPr lang="en-US"/>
        </a:p>
      </dgm:t>
    </dgm:pt>
    <dgm:pt modelId="{2FB5DE3C-867A-44B8-89CD-BAF599600FD9}" type="pres">
      <dgm:prSet presAssocID="{0864151C-55A8-4402-A51E-35DDE1DCFDCF}" presName="root" presStyleCnt="0"/>
      <dgm:spPr/>
    </dgm:pt>
    <dgm:pt modelId="{9DE9E381-FFCB-4D13-B9AA-C091B657A585}" type="pres">
      <dgm:prSet presAssocID="{0864151C-55A8-4402-A51E-35DDE1DCFDCF}" presName="rootComposite" presStyleCnt="0"/>
      <dgm:spPr/>
    </dgm:pt>
    <dgm:pt modelId="{CCF1B5AD-441C-4182-AB14-F5EBF8654620}" type="pres">
      <dgm:prSet presAssocID="{0864151C-55A8-4402-A51E-35DDE1DCFDCF}" presName="rootText" presStyleLbl="node1" presStyleIdx="1" presStyleCnt="3" custScaleX="133755" custScaleY="64573" custLinFactY="-83022" custLinFactNeighborX="462" custLinFactNeighborY="-100000"/>
      <dgm:spPr/>
      <dgm:t>
        <a:bodyPr/>
        <a:lstStyle/>
        <a:p>
          <a:endParaRPr lang="en-US"/>
        </a:p>
      </dgm:t>
    </dgm:pt>
    <dgm:pt modelId="{F5A8D68E-1317-4112-8179-3D951CA9F398}" type="pres">
      <dgm:prSet presAssocID="{0864151C-55A8-4402-A51E-35DDE1DCFDCF}" presName="rootConnector" presStyleLbl="node1" presStyleIdx="1" presStyleCnt="3"/>
      <dgm:spPr/>
      <dgm:t>
        <a:bodyPr/>
        <a:lstStyle/>
        <a:p>
          <a:endParaRPr lang="en-US"/>
        </a:p>
      </dgm:t>
    </dgm:pt>
    <dgm:pt modelId="{25491ECF-4A66-42F1-8AA3-00082B855958}" type="pres">
      <dgm:prSet presAssocID="{0864151C-55A8-4402-A51E-35DDE1DCFDCF}" presName="childShape" presStyleCnt="0"/>
      <dgm:spPr/>
    </dgm:pt>
    <dgm:pt modelId="{0BEC985F-2EBC-4DEA-BB42-245C47DC30C2}" type="pres">
      <dgm:prSet presAssocID="{9609D6F0-EC16-41E5-A0A9-4B5E04E9EC06}" presName="Name13" presStyleLbl="parChTrans1D2" presStyleIdx="2" presStyleCnt="5"/>
      <dgm:spPr/>
      <dgm:t>
        <a:bodyPr/>
        <a:lstStyle/>
        <a:p>
          <a:endParaRPr lang="en-US"/>
        </a:p>
      </dgm:t>
    </dgm:pt>
    <dgm:pt modelId="{A66612BA-E9E2-49B8-B1C6-9B664EF8D554}" type="pres">
      <dgm:prSet presAssocID="{526AEFD8-0D0C-4CE6-97C7-40E25F115372}" presName="childText" presStyleLbl="bgAcc1" presStyleIdx="2" presStyleCnt="5" custScaleX="221434" custScaleY="466809" custLinFactY="-34597" custLinFactNeighborX="3123" custLinFactNeighborY="-100000">
        <dgm:presLayoutVars>
          <dgm:bulletEnabled val="1"/>
        </dgm:presLayoutVars>
      </dgm:prSet>
      <dgm:spPr/>
      <dgm:t>
        <a:bodyPr/>
        <a:lstStyle/>
        <a:p>
          <a:endParaRPr lang="en-US"/>
        </a:p>
      </dgm:t>
    </dgm:pt>
    <dgm:pt modelId="{57B4A690-2D54-43F2-A4FC-A36A00297168}" type="pres">
      <dgm:prSet presAssocID="{26C12E29-FA92-428F-8CB8-F22FEC256479}" presName="Name13" presStyleLbl="parChTrans1D2" presStyleIdx="3" presStyleCnt="5"/>
      <dgm:spPr/>
      <dgm:t>
        <a:bodyPr/>
        <a:lstStyle/>
        <a:p>
          <a:endParaRPr lang="en-US"/>
        </a:p>
      </dgm:t>
    </dgm:pt>
    <dgm:pt modelId="{D602B267-EC58-4413-91BD-D5925CDF50F3}" type="pres">
      <dgm:prSet presAssocID="{75FADC6A-B993-4489-8516-FC5D7FB78EF3}" presName="childText" presStyleLbl="bgAcc1" presStyleIdx="3" presStyleCnt="5" custScaleX="221434" custScaleY="300757" custLinFactNeighborX="3407" custLinFactNeighborY="-99176">
        <dgm:presLayoutVars>
          <dgm:bulletEnabled val="1"/>
        </dgm:presLayoutVars>
      </dgm:prSet>
      <dgm:spPr/>
      <dgm:t>
        <a:bodyPr/>
        <a:lstStyle/>
        <a:p>
          <a:endParaRPr lang="en-US"/>
        </a:p>
      </dgm:t>
    </dgm:pt>
    <dgm:pt modelId="{B5F88AEE-451A-4C5A-8D98-001CB6888185}" type="pres">
      <dgm:prSet presAssocID="{E40EDAB5-D188-4812-A61A-95A9AC19C0AE}" presName="root" presStyleCnt="0"/>
      <dgm:spPr/>
    </dgm:pt>
    <dgm:pt modelId="{CE3720F1-9340-4685-87FD-D50F37CC033B}" type="pres">
      <dgm:prSet presAssocID="{E40EDAB5-D188-4812-A61A-95A9AC19C0AE}" presName="rootComposite" presStyleCnt="0"/>
      <dgm:spPr/>
    </dgm:pt>
    <dgm:pt modelId="{A52CC481-1E94-45D5-998C-116D7F06F43C}" type="pres">
      <dgm:prSet presAssocID="{E40EDAB5-D188-4812-A61A-95A9AC19C0AE}" presName="rootText" presStyleLbl="node1" presStyleIdx="2" presStyleCnt="3" custScaleX="138407" custScaleY="57153" custLinFactY="-70343" custLinFactNeighborX="4525" custLinFactNeighborY="-100000"/>
      <dgm:spPr/>
      <dgm:t>
        <a:bodyPr/>
        <a:lstStyle/>
        <a:p>
          <a:endParaRPr lang="en-US"/>
        </a:p>
      </dgm:t>
    </dgm:pt>
    <dgm:pt modelId="{FA81A31F-68B4-47C4-B547-823393526F80}" type="pres">
      <dgm:prSet presAssocID="{E40EDAB5-D188-4812-A61A-95A9AC19C0AE}" presName="rootConnector" presStyleLbl="node1" presStyleIdx="2" presStyleCnt="3"/>
      <dgm:spPr/>
      <dgm:t>
        <a:bodyPr/>
        <a:lstStyle/>
        <a:p>
          <a:endParaRPr lang="en-US"/>
        </a:p>
      </dgm:t>
    </dgm:pt>
    <dgm:pt modelId="{13D5A3C6-CE80-425E-9D29-FCD90E15EBB7}" type="pres">
      <dgm:prSet presAssocID="{E40EDAB5-D188-4812-A61A-95A9AC19C0AE}" presName="childShape" presStyleCnt="0"/>
      <dgm:spPr/>
    </dgm:pt>
    <dgm:pt modelId="{EE9D00C4-D2C7-4FC5-8294-1E69973FB5F8}" type="pres">
      <dgm:prSet presAssocID="{63BFCA6C-BEC4-435A-8E72-0F4C0248610F}" presName="Name13" presStyleLbl="parChTrans1D2" presStyleIdx="4" presStyleCnt="5"/>
      <dgm:spPr/>
      <dgm:t>
        <a:bodyPr/>
        <a:lstStyle/>
        <a:p>
          <a:endParaRPr lang="en-US"/>
        </a:p>
      </dgm:t>
    </dgm:pt>
    <dgm:pt modelId="{5833CB5C-BF6D-4796-A3D1-E840B57D7143}" type="pres">
      <dgm:prSet presAssocID="{B4D11B42-E642-4237-B8F9-795C9B3B1616}" presName="childText" presStyleLbl="bgAcc1" presStyleIdx="4" presStyleCnt="5" custScaleX="162713" custScaleY="250457" custLinFactY="-19428" custLinFactNeighborX="463" custLinFactNeighborY="-100000">
        <dgm:presLayoutVars>
          <dgm:bulletEnabled val="1"/>
        </dgm:presLayoutVars>
      </dgm:prSet>
      <dgm:spPr/>
      <dgm:t>
        <a:bodyPr/>
        <a:lstStyle/>
        <a:p>
          <a:endParaRPr lang="en-US"/>
        </a:p>
      </dgm:t>
    </dgm:pt>
  </dgm:ptLst>
  <dgm:cxnLst>
    <dgm:cxn modelId="{0A91DD85-87BA-4900-9396-4B82C0DE8B0B}" type="presOf" srcId="{E40EDAB5-D188-4812-A61A-95A9AC19C0AE}" destId="{FA81A31F-68B4-47C4-B547-823393526F80}" srcOrd="1" destOrd="0" presId="urn:microsoft.com/office/officeart/2005/8/layout/hierarchy3"/>
    <dgm:cxn modelId="{3723C636-85FD-42D9-839B-17F2FC9CFC17}" srcId="{0864151C-55A8-4402-A51E-35DDE1DCFDCF}" destId="{526AEFD8-0D0C-4CE6-97C7-40E25F115372}" srcOrd="0" destOrd="0" parTransId="{9609D6F0-EC16-41E5-A0A9-4B5E04E9EC06}" sibTransId="{1981996B-FC11-4317-A929-EA6D94549F39}"/>
    <dgm:cxn modelId="{28AE1C9E-E80A-4195-9BF9-41855609FE39}" type="presOf" srcId="{E40EDAB5-D188-4812-A61A-95A9AC19C0AE}" destId="{A52CC481-1E94-45D5-998C-116D7F06F43C}" srcOrd="0" destOrd="0" presId="urn:microsoft.com/office/officeart/2005/8/layout/hierarchy3"/>
    <dgm:cxn modelId="{EFFCC28B-6791-412A-B74B-AD9054506F71}" type="presOf" srcId="{8F8B65EA-E11E-4B23-98AB-58A8C6A92C1A}" destId="{20593880-3E6F-43D9-8616-5EC16F61B1C0}" srcOrd="0" destOrd="0" presId="urn:microsoft.com/office/officeart/2005/8/layout/hierarchy3"/>
    <dgm:cxn modelId="{EB0F9C15-1D1C-46EB-8B73-4CA19CDB4948}" type="presOf" srcId="{D0F3CCD6-9413-42AD-AE48-0BE3FC72830A}" destId="{934F8C64-EA97-4C0F-8892-ABF906E6ACBF}" srcOrd="0" destOrd="0" presId="urn:microsoft.com/office/officeart/2005/8/layout/hierarchy3"/>
    <dgm:cxn modelId="{BE9A4730-D95D-43FA-9FAD-7E398539BEFE}" type="presOf" srcId="{0864151C-55A8-4402-A51E-35DDE1DCFDCF}" destId="{F5A8D68E-1317-4112-8179-3D951CA9F398}" srcOrd="1" destOrd="0" presId="urn:microsoft.com/office/officeart/2005/8/layout/hierarchy3"/>
    <dgm:cxn modelId="{3AE791F7-1E2C-4E32-9BB4-3880E727F2BD}" type="presOf" srcId="{0864151C-55A8-4402-A51E-35DDE1DCFDCF}" destId="{CCF1B5AD-441C-4182-AB14-F5EBF8654620}" srcOrd="0" destOrd="0" presId="urn:microsoft.com/office/officeart/2005/8/layout/hierarchy3"/>
    <dgm:cxn modelId="{C635285C-E76F-438F-AD88-49B501D4FCD4}" srcId="{E40EDAB5-D188-4812-A61A-95A9AC19C0AE}" destId="{B4D11B42-E642-4237-B8F9-795C9B3B1616}" srcOrd="0" destOrd="0" parTransId="{63BFCA6C-BEC4-435A-8E72-0F4C0248610F}" sibTransId="{AABBDE0A-B9EF-4CAF-B4FA-89ECFE64C588}"/>
    <dgm:cxn modelId="{7A73B562-EACC-4904-8BB8-3FDFE7398C28}" srcId="{AF2C8C0F-097D-4DC9-9C67-E8D19F634135}" destId="{E40EDAB5-D188-4812-A61A-95A9AC19C0AE}" srcOrd="2" destOrd="0" parTransId="{FAE3ACFB-230C-407E-8CBC-952817FA18AA}" sibTransId="{342C2EFC-EB00-410F-82E6-57D5275D470B}"/>
    <dgm:cxn modelId="{BADD87F8-A7B4-46A1-A80C-6CC77FE90876}" type="presOf" srcId="{75FADC6A-B993-4489-8516-FC5D7FB78EF3}" destId="{D602B267-EC58-4413-91BD-D5925CDF50F3}" srcOrd="0" destOrd="0" presId="urn:microsoft.com/office/officeart/2005/8/layout/hierarchy3"/>
    <dgm:cxn modelId="{DDFBA995-8842-4BC7-B205-8281CF2BE4BE}" type="presOf" srcId="{6EDDC9A4-7743-45A1-A47F-DDC8AA334378}" destId="{8E010497-E5A8-4319-AFB0-5D34092ECD88}" srcOrd="1" destOrd="0" presId="urn:microsoft.com/office/officeart/2005/8/layout/hierarchy3"/>
    <dgm:cxn modelId="{0CA62C0A-9C45-4B60-96A7-81795F1562B0}" type="presOf" srcId="{26C12E29-FA92-428F-8CB8-F22FEC256479}" destId="{57B4A690-2D54-43F2-A4FC-A36A00297168}" srcOrd="0" destOrd="0" presId="urn:microsoft.com/office/officeart/2005/8/layout/hierarchy3"/>
    <dgm:cxn modelId="{5E5959E0-EE49-41C5-BBC0-188479458CB6}" srcId="{6EDDC9A4-7743-45A1-A47F-DDC8AA334378}" destId="{FEABC0E6-7B70-44F3-B8B5-8EBCD8C6550A}" srcOrd="0" destOrd="0" parTransId="{D0F3CCD6-9413-42AD-AE48-0BE3FC72830A}" sibTransId="{CC775E11-A20C-4EA5-B77A-7381C0F1923A}"/>
    <dgm:cxn modelId="{799529BE-633D-4CFA-A733-AE77990E05EB}" srcId="{6EDDC9A4-7743-45A1-A47F-DDC8AA334378}" destId="{8F8B65EA-E11E-4B23-98AB-58A8C6A92C1A}" srcOrd="1" destOrd="0" parTransId="{15C3C164-E8A4-450C-AE25-B68D6FA736BD}" sibTransId="{2E3B712C-CEE7-4123-8A21-3BABAAB4E09C}"/>
    <dgm:cxn modelId="{D9792B58-642B-413E-B4CF-B044BC98D0E4}" type="presOf" srcId="{15C3C164-E8A4-450C-AE25-B68D6FA736BD}" destId="{4DEA7E4A-FADE-48EA-B13C-A183A7A267EA}" srcOrd="0" destOrd="0" presId="urn:microsoft.com/office/officeart/2005/8/layout/hierarchy3"/>
    <dgm:cxn modelId="{D2427F20-B0E2-435A-87EE-9CF9178695AB}" srcId="{AF2C8C0F-097D-4DC9-9C67-E8D19F634135}" destId="{6EDDC9A4-7743-45A1-A47F-DDC8AA334378}" srcOrd="0" destOrd="0" parTransId="{3A48E9A3-A638-4BBF-9C68-D8F4933C7E36}" sibTransId="{D05AD119-BE24-43D7-9E4E-8F0C25949A32}"/>
    <dgm:cxn modelId="{1D3C10C7-B581-46A3-9832-796E04617DC7}" srcId="{0864151C-55A8-4402-A51E-35DDE1DCFDCF}" destId="{75FADC6A-B993-4489-8516-FC5D7FB78EF3}" srcOrd="1" destOrd="0" parTransId="{26C12E29-FA92-428F-8CB8-F22FEC256479}" sibTransId="{4DD37F6C-529F-4ADC-8F07-7FBE27BF656A}"/>
    <dgm:cxn modelId="{03607AEF-07AD-4BDB-A89D-B209BC79EF53}" srcId="{AF2C8C0F-097D-4DC9-9C67-E8D19F634135}" destId="{0864151C-55A8-4402-A51E-35DDE1DCFDCF}" srcOrd="1" destOrd="0" parTransId="{F7BDD5F8-65A4-4108-AE7C-CFA0F4388FB8}" sibTransId="{0A05DBC0-5F35-4A5D-A28B-267431B26F59}"/>
    <dgm:cxn modelId="{A42B575B-7038-4B54-A2AE-8212A8DC99C2}" type="presOf" srcId="{AF2C8C0F-097D-4DC9-9C67-E8D19F634135}" destId="{B388476D-662D-499E-86FF-075E40B9B116}" srcOrd="0" destOrd="0" presId="urn:microsoft.com/office/officeart/2005/8/layout/hierarchy3"/>
    <dgm:cxn modelId="{C15D4A68-C9EB-4806-BF95-C3DA59E0BEA7}" type="presOf" srcId="{63BFCA6C-BEC4-435A-8E72-0F4C0248610F}" destId="{EE9D00C4-D2C7-4FC5-8294-1E69973FB5F8}" srcOrd="0" destOrd="0" presId="urn:microsoft.com/office/officeart/2005/8/layout/hierarchy3"/>
    <dgm:cxn modelId="{650EA0CD-00B7-4AF3-82E8-C664BBD51CA7}" type="presOf" srcId="{526AEFD8-0D0C-4CE6-97C7-40E25F115372}" destId="{A66612BA-E9E2-49B8-B1C6-9B664EF8D554}" srcOrd="0" destOrd="0" presId="urn:microsoft.com/office/officeart/2005/8/layout/hierarchy3"/>
    <dgm:cxn modelId="{59E933F9-3531-46D1-9D9C-39DC1E512D85}" type="presOf" srcId="{6EDDC9A4-7743-45A1-A47F-DDC8AA334378}" destId="{1A83EF98-3231-40EA-B1D6-7E43DBA651A6}" srcOrd="0" destOrd="0" presId="urn:microsoft.com/office/officeart/2005/8/layout/hierarchy3"/>
    <dgm:cxn modelId="{843063DF-2E95-4299-A8C6-284155278DB2}" type="presOf" srcId="{B4D11B42-E642-4237-B8F9-795C9B3B1616}" destId="{5833CB5C-BF6D-4796-A3D1-E840B57D7143}" srcOrd="0" destOrd="0" presId="urn:microsoft.com/office/officeart/2005/8/layout/hierarchy3"/>
    <dgm:cxn modelId="{7086357A-CDC4-4655-8E94-8DD2AAFB2612}" type="presOf" srcId="{9609D6F0-EC16-41E5-A0A9-4B5E04E9EC06}" destId="{0BEC985F-2EBC-4DEA-BB42-245C47DC30C2}" srcOrd="0" destOrd="0" presId="urn:microsoft.com/office/officeart/2005/8/layout/hierarchy3"/>
    <dgm:cxn modelId="{951DAF04-56AA-4224-BE5A-F8222AAB70F5}" type="presOf" srcId="{FEABC0E6-7B70-44F3-B8B5-8EBCD8C6550A}" destId="{FB6A285C-5183-4322-9201-942A845FA662}" srcOrd="0" destOrd="0" presId="urn:microsoft.com/office/officeart/2005/8/layout/hierarchy3"/>
    <dgm:cxn modelId="{EA44AB9F-BB0B-442F-B552-83B8CF341A3F}" type="presParOf" srcId="{B388476D-662D-499E-86FF-075E40B9B116}" destId="{4CCE11F2-9671-4C6B-9F76-2C10D78361EF}" srcOrd="0" destOrd="0" presId="urn:microsoft.com/office/officeart/2005/8/layout/hierarchy3"/>
    <dgm:cxn modelId="{0723B741-74EB-4117-9275-4A8CFE8EBAAB}" type="presParOf" srcId="{4CCE11F2-9671-4C6B-9F76-2C10D78361EF}" destId="{C557614C-F630-4D5F-BE22-AB9FC945D279}" srcOrd="0" destOrd="0" presId="urn:microsoft.com/office/officeart/2005/8/layout/hierarchy3"/>
    <dgm:cxn modelId="{E2493AD5-F300-486B-A6A4-CA4D2154FD34}" type="presParOf" srcId="{C557614C-F630-4D5F-BE22-AB9FC945D279}" destId="{1A83EF98-3231-40EA-B1D6-7E43DBA651A6}" srcOrd="0" destOrd="0" presId="urn:microsoft.com/office/officeart/2005/8/layout/hierarchy3"/>
    <dgm:cxn modelId="{7B8D80BF-ACF5-4FF0-A677-62EC7A62F08A}" type="presParOf" srcId="{C557614C-F630-4D5F-BE22-AB9FC945D279}" destId="{8E010497-E5A8-4319-AFB0-5D34092ECD88}" srcOrd="1" destOrd="0" presId="urn:microsoft.com/office/officeart/2005/8/layout/hierarchy3"/>
    <dgm:cxn modelId="{D502C958-603A-4DD6-8A4F-4CEAC23BC16A}" type="presParOf" srcId="{4CCE11F2-9671-4C6B-9F76-2C10D78361EF}" destId="{2F8125D7-8EE8-4988-87E0-9DDFA76BED4A}" srcOrd="1" destOrd="0" presId="urn:microsoft.com/office/officeart/2005/8/layout/hierarchy3"/>
    <dgm:cxn modelId="{3410AC31-451D-4915-8CE6-8E345E20B632}" type="presParOf" srcId="{2F8125D7-8EE8-4988-87E0-9DDFA76BED4A}" destId="{934F8C64-EA97-4C0F-8892-ABF906E6ACBF}" srcOrd="0" destOrd="0" presId="urn:microsoft.com/office/officeart/2005/8/layout/hierarchy3"/>
    <dgm:cxn modelId="{002C43FB-F1E5-4260-B88F-4C57AC18B7D3}" type="presParOf" srcId="{2F8125D7-8EE8-4988-87E0-9DDFA76BED4A}" destId="{FB6A285C-5183-4322-9201-942A845FA662}" srcOrd="1" destOrd="0" presId="urn:microsoft.com/office/officeart/2005/8/layout/hierarchy3"/>
    <dgm:cxn modelId="{4C0F9C39-B3A7-4279-BE1B-402C1DB2B3BD}" type="presParOf" srcId="{2F8125D7-8EE8-4988-87E0-9DDFA76BED4A}" destId="{4DEA7E4A-FADE-48EA-B13C-A183A7A267EA}" srcOrd="2" destOrd="0" presId="urn:microsoft.com/office/officeart/2005/8/layout/hierarchy3"/>
    <dgm:cxn modelId="{9B084785-D911-4F90-A2B9-E3009E740A35}" type="presParOf" srcId="{2F8125D7-8EE8-4988-87E0-9DDFA76BED4A}" destId="{20593880-3E6F-43D9-8616-5EC16F61B1C0}" srcOrd="3" destOrd="0" presId="urn:microsoft.com/office/officeart/2005/8/layout/hierarchy3"/>
    <dgm:cxn modelId="{3E64DD2B-528B-457E-BCF2-C8B966D9896C}" type="presParOf" srcId="{B388476D-662D-499E-86FF-075E40B9B116}" destId="{2FB5DE3C-867A-44B8-89CD-BAF599600FD9}" srcOrd="1" destOrd="0" presId="urn:microsoft.com/office/officeart/2005/8/layout/hierarchy3"/>
    <dgm:cxn modelId="{DCB9F7AD-5F05-4B54-BFE4-D35677CC3D41}" type="presParOf" srcId="{2FB5DE3C-867A-44B8-89CD-BAF599600FD9}" destId="{9DE9E381-FFCB-4D13-B9AA-C091B657A585}" srcOrd="0" destOrd="0" presId="urn:microsoft.com/office/officeart/2005/8/layout/hierarchy3"/>
    <dgm:cxn modelId="{700BD667-5322-483A-A369-0846591B3703}" type="presParOf" srcId="{9DE9E381-FFCB-4D13-B9AA-C091B657A585}" destId="{CCF1B5AD-441C-4182-AB14-F5EBF8654620}" srcOrd="0" destOrd="0" presId="urn:microsoft.com/office/officeart/2005/8/layout/hierarchy3"/>
    <dgm:cxn modelId="{B703208B-9FA9-4ACB-A485-CA0A5EBAA02B}" type="presParOf" srcId="{9DE9E381-FFCB-4D13-B9AA-C091B657A585}" destId="{F5A8D68E-1317-4112-8179-3D951CA9F398}" srcOrd="1" destOrd="0" presId="urn:microsoft.com/office/officeart/2005/8/layout/hierarchy3"/>
    <dgm:cxn modelId="{7CF7C7FD-899D-4265-B76F-E4C6704FD424}" type="presParOf" srcId="{2FB5DE3C-867A-44B8-89CD-BAF599600FD9}" destId="{25491ECF-4A66-42F1-8AA3-00082B855958}" srcOrd="1" destOrd="0" presId="urn:microsoft.com/office/officeart/2005/8/layout/hierarchy3"/>
    <dgm:cxn modelId="{E869C7A6-BB3E-45B5-B118-6525B06CBD43}" type="presParOf" srcId="{25491ECF-4A66-42F1-8AA3-00082B855958}" destId="{0BEC985F-2EBC-4DEA-BB42-245C47DC30C2}" srcOrd="0" destOrd="0" presId="urn:microsoft.com/office/officeart/2005/8/layout/hierarchy3"/>
    <dgm:cxn modelId="{C2B66FC9-AD2B-459E-848B-204DF0926578}" type="presParOf" srcId="{25491ECF-4A66-42F1-8AA3-00082B855958}" destId="{A66612BA-E9E2-49B8-B1C6-9B664EF8D554}" srcOrd="1" destOrd="0" presId="urn:microsoft.com/office/officeart/2005/8/layout/hierarchy3"/>
    <dgm:cxn modelId="{553F046A-C799-4EA0-9595-9058C0467631}" type="presParOf" srcId="{25491ECF-4A66-42F1-8AA3-00082B855958}" destId="{57B4A690-2D54-43F2-A4FC-A36A00297168}" srcOrd="2" destOrd="0" presId="urn:microsoft.com/office/officeart/2005/8/layout/hierarchy3"/>
    <dgm:cxn modelId="{17EF902F-7313-431B-B32C-37051221712E}" type="presParOf" srcId="{25491ECF-4A66-42F1-8AA3-00082B855958}" destId="{D602B267-EC58-4413-91BD-D5925CDF50F3}" srcOrd="3" destOrd="0" presId="urn:microsoft.com/office/officeart/2005/8/layout/hierarchy3"/>
    <dgm:cxn modelId="{4C7B7D7A-8E6F-4E32-810F-6BE4E2A27768}" type="presParOf" srcId="{B388476D-662D-499E-86FF-075E40B9B116}" destId="{B5F88AEE-451A-4C5A-8D98-001CB6888185}" srcOrd="2" destOrd="0" presId="urn:microsoft.com/office/officeart/2005/8/layout/hierarchy3"/>
    <dgm:cxn modelId="{A2B04E8D-0756-4C4C-8310-EA80863AD7B5}" type="presParOf" srcId="{B5F88AEE-451A-4C5A-8D98-001CB6888185}" destId="{CE3720F1-9340-4685-87FD-D50F37CC033B}" srcOrd="0" destOrd="0" presId="urn:microsoft.com/office/officeart/2005/8/layout/hierarchy3"/>
    <dgm:cxn modelId="{1B6D4FF1-2EF9-4B31-B043-BFD0ED638709}" type="presParOf" srcId="{CE3720F1-9340-4685-87FD-D50F37CC033B}" destId="{A52CC481-1E94-45D5-998C-116D7F06F43C}" srcOrd="0" destOrd="0" presId="urn:microsoft.com/office/officeart/2005/8/layout/hierarchy3"/>
    <dgm:cxn modelId="{3E47E1F0-A52D-4B18-B85B-6D5728B2719E}" type="presParOf" srcId="{CE3720F1-9340-4685-87FD-D50F37CC033B}" destId="{FA81A31F-68B4-47C4-B547-823393526F80}" srcOrd="1" destOrd="0" presId="urn:microsoft.com/office/officeart/2005/8/layout/hierarchy3"/>
    <dgm:cxn modelId="{8ED6A98F-3EA8-4AD6-B112-AC23A5A46E0D}" type="presParOf" srcId="{B5F88AEE-451A-4C5A-8D98-001CB6888185}" destId="{13D5A3C6-CE80-425E-9D29-FCD90E15EBB7}" srcOrd="1" destOrd="0" presId="urn:microsoft.com/office/officeart/2005/8/layout/hierarchy3"/>
    <dgm:cxn modelId="{9FA7B713-1618-4206-8ABF-6056F24C84D5}" type="presParOf" srcId="{13D5A3C6-CE80-425E-9D29-FCD90E15EBB7}" destId="{EE9D00C4-D2C7-4FC5-8294-1E69973FB5F8}" srcOrd="0" destOrd="0" presId="urn:microsoft.com/office/officeart/2005/8/layout/hierarchy3"/>
    <dgm:cxn modelId="{9701B428-4E93-489D-BCC7-7CD6F3E13277}" type="presParOf" srcId="{13D5A3C6-CE80-425E-9D29-FCD90E15EBB7}" destId="{5833CB5C-BF6D-4796-A3D1-E840B57D7143}"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3EF98-3231-40EA-B1D6-7E43DBA651A6}">
      <dsp:nvSpPr>
        <dsp:cNvPr id="0" name=""/>
        <dsp:cNvSpPr/>
      </dsp:nvSpPr>
      <dsp:spPr>
        <a:xfrm>
          <a:off x="0" y="200024"/>
          <a:ext cx="1883920" cy="44859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ფაქტობრივი </a:t>
          </a:r>
        </a:p>
        <a:p>
          <a:pPr lvl="0" algn="ctr" defTabSz="533400">
            <a:lnSpc>
              <a:spcPct val="90000"/>
            </a:lnSpc>
            <a:spcBef>
              <a:spcPct val="0"/>
            </a:spcBef>
            <a:spcAft>
              <a:spcPct val="35000"/>
            </a:spcAft>
          </a:pPr>
          <a:r>
            <a:rPr lang="ka-GE" sz="1200" b="1" kern="1200">
              <a:latin typeface="Sylfaen" pitchFamily="18" charset="0"/>
            </a:rPr>
            <a:t>გარემოებები</a:t>
          </a:r>
          <a:endParaRPr lang="en-US" sz="1200" b="1" kern="1200">
            <a:latin typeface="Sylfaen" pitchFamily="18" charset="0"/>
          </a:endParaRPr>
        </a:p>
      </dsp:txBody>
      <dsp:txXfrm>
        <a:off x="13139" y="213163"/>
        <a:ext cx="1857642" cy="422316"/>
      </dsp:txXfrm>
    </dsp:sp>
    <dsp:sp modelId="{934F8C64-EA97-4C0F-8892-ABF906E6ACBF}">
      <dsp:nvSpPr>
        <dsp:cNvPr id="0" name=""/>
        <dsp:cNvSpPr/>
      </dsp:nvSpPr>
      <dsp:spPr>
        <a:xfrm>
          <a:off x="188392" y="648619"/>
          <a:ext cx="131969" cy="1079640"/>
        </a:xfrm>
        <a:custGeom>
          <a:avLst/>
          <a:gdLst/>
          <a:ahLst/>
          <a:cxnLst/>
          <a:rect l="0" t="0" r="0" b="0"/>
          <a:pathLst>
            <a:path>
              <a:moveTo>
                <a:pt x="0" y="0"/>
              </a:moveTo>
              <a:lnTo>
                <a:pt x="0" y="1079640"/>
              </a:lnTo>
              <a:lnTo>
                <a:pt x="131969" y="1079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A285C-5183-4322-9201-942A845FA662}">
      <dsp:nvSpPr>
        <dsp:cNvPr id="0" name=""/>
        <dsp:cNvSpPr/>
      </dsp:nvSpPr>
      <dsp:spPr>
        <a:xfrm>
          <a:off x="320361" y="1174334"/>
          <a:ext cx="2282121" cy="11078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ka-GE" sz="1100" b="0" kern="1200">
              <a:latin typeface="Sylfaen" pitchFamily="18" charset="0"/>
            </a:rPr>
            <a:t>სახელშეკრულებო პირობების საფუძველზე პირის მიმდინარე (საბანკო) ანგარიშზე არსებულ თანხაზე საბანკო დაწესებულება ახდენს სარგებლის დარიცხვას</a:t>
          </a:r>
          <a:endParaRPr lang="en-US" sz="1100" b="0" kern="1200">
            <a:latin typeface="Sylfaen" pitchFamily="18" charset="0"/>
          </a:endParaRPr>
        </a:p>
      </dsp:txBody>
      <dsp:txXfrm>
        <a:off x="352809" y="1206782"/>
        <a:ext cx="2217225" cy="1042956"/>
      </dsp:txXfrm>
    </dsp:sp>
    <dsp:sp modelId="{4DEA7E4A-FADE-48EA-B13C-A183A7A267EA}">
      <dsp:nvSpPr>
        <dsp:cNvPr id="0" name=""/>
        <dsp:cNvSpPr/>
      </dsp:nvSpPr>
      <dsp:spPr>
        <a:xfrm>
          <a:off x="188392" y="648619"/>
          <a:ext cx="204683" cy="2626656"/>
        </a:xfrm>
        <a:custGeom>
          <a:avLst/>
          <a:gdLst/>
          <a:ahLst/>
          <a:cxnLst/>
          <a:rect l="0" t="0" r="0" b="0"/>
          <a:pathLst>
            <a:path>
              <a:moveTo>
                <a:pt x="0" y="0"/>
              </a:moveTo>
              <a:lnTo>
                <a:pt x="0" y="2626656"/>
              </a:lnTo>
              <a:lnTo>
                <a:pt x="204683" y="2626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93880-3E6F-43D9-8616-5EC16F61B1C0}">
      <dsp:nvSpPr>
        <dsp:cNvPr id="0" name=""/>
        <dsp:cNvSpPr/>
      </dsp:nvSpPr>
      <dsp:spPr>
        <a:xfrm>
          <a:off x="393075" y="2606397"/>
          <a:ext cx="2197564" cy="13377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ka-GE" sz="1100" b="0" kern="1200">
              <a:latin typeface="Sylfaen" pitchFamily="18" charset="0"/>
            </a:rPr>
            <a:t>ბანკმა დარიცხული სარგებელი ჩათვალა პროცენტის სახით განაცემად და სსკ-ის 131-ე მუხლის მე-5 ნაწილის შესაბამისად არ დაბეგრა გადახდის წყაროსთან </a:t>
          </a:r>
          <a:endParaRPr lang="en-US" sz="1100" b="0" kern="1200">
            <a:latin typeface="Sylfaen" pitchFamily="18" charset="0"/>
          </a:endParaRPr>
        </a:p>
      </dsp:txBody>
      <dsp:txXfrm>
        <a:off x="432257" y="2645579"/>
        <a:ext cx="2119200" cy="1259391"/>
      </dsp:txXfrm>
    </dsp:sp>
    <dsp:sp modelId="{CCF1B5AD-441C-4182-AB14-F5EBF8654620}">
      <dsp:nvSpPr>
        <dsp:cNvPr id="0" name=""/>
        <dsp:cNvSpPr/>
      </dsp:nvSpPr>
      <dsp:spPr>
        <a:xfrm>
          <a:off x="2647615" y="257173"/>
          <a:ext cx="1643322" cy="39667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შეფასება</a:t>
          </a:r>
          <a:endParaRPr lang="en-US" sz="1200" b="1" kern="1200">
            <a:latin typeface="Sylfaen" pitchFamily="18" charset="0"/>
          </a:endParaRPr>
        </a:p>
      </dsp:txBody>
      <dsp:txXfrm>
        <a:off x="2659233" y="268791"/>
        <a:ext cx="1620086" cy="373438"/>
      </dsp:txXfrm>
    </dsp:sp>
    <dsp:sp modelId="{0BEC985F-2EBC-4DEA-BB42-245C47DC30C2}">
      <dsp:nvSpPr>
        <dsp:cNvPr id="0" name=""/>
        <dsp:cNvSpPr/>
      </dsp:nvSpPr>
      <dsp:spPr>
        <a:xfrm>
          <a:off x="2811947" y="653847"/>
          <a:ext cx="189351" cy="1884863"/>
        </a:xfrm>
        <a:custGeom>
          <a:avLst/>
          <a:gdLst/>
          <a:ahLst/>
          <a:cxnLst/>
          <a:rect l="0" t="0" r="0" b="0"/>
          <a:pathLst>
            <a:path>
              <a:moveTo>
                <a:pt x="0" y="0"/>
              </a:moveTo>
              <a:lnTo>
                <a:pt x="0" y="1884863"/>
              </a:lnTo>
              <a:lnTo>
                <a:pt x="189351" y="18848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6612BA-E9E2-49B8-B1C6-9B664EF8D554}">
      <dsp:nvSpPr>
        <dsp:cNvPr id="0" name=""/>
        <dsp:cNvSpPr/>
      </dsp:nvSpPr>
      <dsp:spPr>
        <a:xfrm>
          <a:off x="3001299" y="1104899"/>
          <a:ext cx="2176441" cy="28676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ka-GE" sz="1100" b="0" kern="1200">
              <a:latin typeface="Sylfaen" pitchFamily="18" charset="0"/>
            </a:rPr>
            <a:t>სსკ-ის მე-8 მუხლის მე -19 ნაწილის შესაბამისად პროცენტს წარმოადგენს ფულად დაბანდებებთან ან სავალო ვალდებულებებთან დაკავშირებული ნებისმიერი სახის სავალო მოთხოვნიდან (იპოთეკური უზრუნველყოფის არსებობისა და მისი გაფორმების მეთოდის მიუხედავად) მიღებული ნებისმიერი წინასწარ განცხადებული (დადგენილი) შემოსავალი (მათ შორის, დისკონტის სახით მიღებული)</a:t>
          </a:r>
          <a:endParaRPr lang="de-DE" sz="1100" b="0" kern="1200">
            <a:latin typeface="Sylfaen" pitchFamily="18" charset="0"/>
          </a:endParaRPr>
        </a:p>
      </dsp:txBody>
      <dsp:txXfrm>
        <a:off x="3065045" y="1168645"/>
        <a:ext cx="2048949" cy="2740130"/>
      </dsp:txXfrm>
    </dsp:sp>
    <dsp:sp modelId="{57B4A690-2D54-43F2-A4FC-A36A00297168}">
      <dsp:nvSpPr>
        <dsp:cNvPr id="0" name=""/>
        <dsp:cNvSpPr/>
      </dsp:nvSpPr>
      <dsp:spPr>
        <a:xfrm>
          <a:off x="2811947" y="653847"/>
          <a:ext cx="192142" cy="4613622"/>
        </a:xfrm>
        <a:custGeom>
          <a:avLst/>
          <a:gdLst/>
          <a:ahLst/>
          <a:cxnLst/>
          <a:rect l="0" t="0" r="0" b="0"/>
          <a:pathLst>
            <a:path>
              <a:moveTo>
                <a:pt x="0" y="0"/>
              </a:moveTo>
              <a:lnTo>
                <a:pt x="0" y="4613622"/>
              </a:lnTo>
              <a:lnTo>
                <a:pt x="192142" y="46136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02B267-EC58-4413-91BD-D5925CDF50F3}">
      <dsp:nvSpPr>
        <dsp:cNvPr id="0" name=""/>
        <dsp:cNvSpPr/>
      </dsp:nvSpPr>
      <dsp:spPr>
        <a:xfrm>
          <a:off x="3004090" y="4343690"/>
          <a:ext cx="2176441" cy="18475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0" kern="1200">
              <a:latin typeface="AcadNusx" pitchFamily="2" charset="0"/>
            </a:rPr>
            <a:t>ი</a:t>
          </a:r>
          <a:r>
            <a:rPr lang="ka-GE" sz="1100" b="0" kern="1200">
              <a:latin typeface="AcadNusx" pitchFamily="2" charset="0"/>
            </a:rPr>
            <a:t>მის გათვალისწინებით, რომ საწარმოს მიმდინარე ანგარიშზე დარიცხული სარგებელი თავისი შინაარსით წარმოადგენს ფულადი სახსრების სარგებლობისათვის განაცემს, სსკ-ის 73-ე მუხლის საფუძველზე იგი განხილულ უნდა იქნეს პროცენტის სახით განაცემად </a:t>
          </a:r>
          <a:endParaRPr lang="ka-GE" sz="1100" b="0" kern="1200">
            <a:latin typeface="Sylfaen" pitchFamily="18" charset="0"/>
          </a:endParaRPr>
        </a:p>
      </dsp:txBody>
      <dsp:txXfrm>
        <a:off x="3058203" y="4397803"/>
        <a:ext cx="2068215" cy="1739333"/>
      </dsp:txXfrm>
    </dsp:sp>
    <dsp:sp modelId="{A52CC481-1E94-45D5-998C-116D7F06F43C}">
      <dsp:nvSpPr>
        <dsp:cNvPr id="0" name=""/>
        <dsp:cNvSpPr/>
      </dsp:nvSpPr>
      <dsp:spPr>
        <a:xfrm>
          <a:off x="5169695" y="335060"/>
          <a:ext cx="1700477" cy="351092"/>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ka-GE" sz="1200" b="1" kern="1200">
              <a:latin typeface="Sylfaen" pitchFamily="18" charset="0"/>
            </a:rPr>
            <a:t>ღონისძიებები</a:t>
          </a:r>
          <a:endParaRPr lang="en-US" sz="1200" b="1" kern="1200">
            <a:latin typeface="Sylfaen" pitchFamily="18" charset="0"/>
          </a:endParaRPr>
        </a:p>
      </dsp:txBody>
      <dsp:txXfrm>
        <a:off x="5179978" y="345343"/>
        <a:ext cx="1679911" cy="330526"/>
      </dsp:txXfrm>
    </dsp:sp>
    <dsp:sp modelId="{EE9D00C4-D2C7-4FC5-8294-1E69973FB5F8}">
      <dsp:nvSpPr>
        <dsp:cNvPr id="0" name=""/>
        <dsp:cNvSpPr/>
      </dsp:nvSpPr>
      <dsp:spPr>
        <a:xfrm>
          <a:off x="5339743" y="686153"/>
          <a:ext cx="118999" cy="1235630"/>
        </a:xfrm>
        <a:custGeom>
          <a:avLst/>
          <a:gdLst/>
          <a:ahLst/>
          <a:cxnLst/>
          <a:rect l="0" t="0" r="0" b="0"/>
          <a:pathLst>
            <a:path>
              <a:moveTo>
                <a:pt x="0" y="0"/>
              </a:moveTo>
              <a:lnTo>
                <a:pt x="0" y="1235630"/>
              </a:lnTo>
              <a:lnTo>
                <a:pt x="118999" y="1235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3CB5C-BF6D-4796-A3D1-E840B57D7143}">
      <dsp:nvSpPr>
        <dsp:cNvPr id="0" name=""/>
        <dsp:cNvSpPr/>
      </dsp:nvSpPr>
      <dsp:spPr>
        <a:xfrm>
          <a:off x="5458743" y="1152501"/>
          <a:ext cx="1599281" cy="1538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0" kern="1200">
              <a:latin typeface="AcadNusx" pitchFamily="2" charset="0"/>
            </a:rPr>
            <a:t>პ</a:t>
          </a:r>
          <a:r>
            <a:rPr lang="ka-GE" sz="1100" b="0" kern="1200">
              <a:latin typeface="AcadNusx" pitchFamily="2" charset="0"/>
            </a:rPr>
            <a:t>ირის ქმედებაში საგადასახადო სამართალდარღვევა არ იკვეთება და დამატებითი ვალდებულებების დაკისრება არ ხდება</a:t>
          </a:r>
          <a:endParaRPr lang="de-DE" sz="1100" b="0" kern="1200">
            <a:latin typeface="Sylfaen" pitchFamily="18" charset="0"/>
          </a:endParaRPr>
        </a:p>
      </dsp:txBody>
      <dsp:txXfrm>
        <a:off x="5503806" y="1197564"/>
        <a:ext cx="1509155" cy="14484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8766-155E-436B-912F-9C1C0733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Levan Chomakhidze</cp:lastModifiedBy>
  <cp:revision>5</cp:revision>
  <cp:lastPrinted>2012-08-16T09:28:00Z</cp:lastPrinted>
  <dcterms:created xsi:type="dcterms:W3CDTF">2012-09-17T11:48:00Z</dcterms:created>
  <dcterms:modified xsi:type="dcterms:W3CDTF">2012-09-17T11:52:00Z</dcterms:modified>
</cp:coreProperties>
</file>