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BB" w:rsidRPr="008C70B3" w:rsidRDefault="00C42D77" w:rsidP="008C70B3">
      <w:bookmarkStart w:id="0" w:name="_GoBack"/>
      <w:r w:rsidRPr="00C42D77">
        <w:rPr>
          <w:noProof/>
        </w:rPr>
        <w:drawing>
          <wp:inline distT="0" distB="0" distL="0" distR="0">
            <wp:extent cx="5941803" cy="9583947"/>
            <wp:effectExtent l="0" t="0" r="1905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719BB" w:rsidRPr="008C70B3" w:rsidSect="001910AB">
      <w:headerReference w:type="default" r:id="rId13"/>
      <w:pgSz w:w="11906" w:h="16838"/>
      <w:pgMar w:top="1134" w:right="850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91" w:rsidRDefault="00771791" w:rsidP="00C42D77">
      <w:pPr>
        <w:spacing w:after="0" w:line="240" w:lineRule="auto"/>
      </w:pPr>
      <w:r>
        <w:separator/>
      </w:r>
    </w:p>
  </w:endnote>
  <w:endnote w:type="continuationSeparator" w:id="0">
    <w:p w:rsidR="00771791" w:rsidRDefault="00771791" w:rsidP="00C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91" w:rsidRDefault="00771791" w:rsidP="00C42D77">
      <w:pPr>
        <w:spacing w:after="0" w:line="240" w:lineRule="auto"/>
      </w:pPr>
      <w:r>
        <w:separator/>
      </w:r>
    </w:p>
  </w:footnote>
  <w:footnote w:type="continuationSeparator" w:id="0">
    <w:p w:rsidR="00771791" w:rsidRDefault="00771791" w:rsidP="00C4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AB" w:rsidRPr="00C37A21" w:rsidRDefault="00C37A21" w:rsidP="001910AB">
    <w:pPr>
      <w:pStyle w:val="Header"/>
      <w:jc w:val="center"/>
      <w:rPr>
        <w:rFonts w:ascii="Sylfaen" w:hAnsi="Sylfaen"/>
        <w:b/>
        <w:sz w:val="28"/>
        <w:szCs w:val="28"/>
        <w:lang w:val="ka-GE"/>
      </w:rPr>
    </w:pPr>
    <w:r>
      <w:rPr>
        <w:rFonts w:ascii="Sylfaen" w:hAnsi="Sylfaen"/>
        <w:b/>
        <w:sz w:val="28"/>
        <w:szCs w:val="28"/>
        <w:lang w:val="ka-GE"/>
      </w:rPr>
      <w:t>აქტივის აფასება 2104</w:t>
    </w:r>
  </w:p>
  <w:p w:rsidR="00C42D77" w:rsidRPr="00B55D48" w:rsidRDefault="00C42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77"/>
    <w:rsid w:val="00022C39"/>
    <w:rsid w:val="00030F4C"/>
    <w:rsid w:val="00037865"/>
    <w:rsid w:val="00055C72"/>
    <w:rsid w:val="000656C0"/>
    <w:rsid w:val="000719BB"/>
    <w:rsid w:val="000C14ED"/>
    <w:rsid w:val="000F0D48"/>
    <w:rsid w:val="001076A3"/>
    <w:rsid w:val="001115C2"/>
    <w:rsid w:val="00130695"/>
    <w:rsid w:val="00161571"/>
    <w:rsid w:val="00163187"/>
    <w:rsid w:val="00176041"/>
    <w:rsid w:val="0017649E"/>
    <w:rsid w:val="00180EBD"/>
    <w:rsid w:val="001910AB"/>
    <w:rsid w:val="00192E3A"/>
    <w:rsid w:val="001A0A2F"/>
    <w:rsid w:val="001A3456"/>
    <w:rsid w:val="001A3AFA"/>
    <w:rsid w:val="001B3B24"/>
    <w:rsid w:val="001E0339"/>
    <w:rsid w:val="001F78FC"/>
    <w:rsid w:val="00202D9D"/>
    <w:rsid w:val="002113E5"/>
    <w:rsid w:val="00216178"/>
    <w:rsid w:val="002208E1"/>
    <w:rsid w:val="00224638"/>
    <w:rsid w:val="002268C6"/>
    <w:rsid w:val="00226FE9"/>
    <w:rsid w:val="002B7A5A"/>
    <w:rsid w:val="002C3E75"/>
    <w:rsid w:val="002F691B"/>
    <w:rsid w:val="00301FF0"/>
    <w:rsid w:val="00304C43"/>
    <w:rsid w:val="00306387"/>
    <w:rsid w:val="00306C00"/>
    <w:rsid w:val="00364D0F"/>
    <w:rsid w:val="00365AEE"/>
    <w:rsid w:val="003A64DE"/>
    <w:rsid w:val="003B7868"/>
    <w:rsid w:val="003D289D"/>
    <w:rsid w:val="003D4098"/>
    <w:rsid w:val="004050FF"/>
    <w:rsid w:val="004139AA"/>
    <w:rsid w:val="00445252"/>
    <w:rsid w:val="00485762"/>
    <w:rsid w:val="00493150"/>
    <w:rsid w:val="004A6E24"/>
    <w:rsid w:val="004C3C8F"/>
    <w:rsid w:val="004D7F0A"/>
    <w:rsid w:val="00500A04"/>
    <w:rsid w:val="00510C6D"/>
    <w:rsid w:val="00583403"/>
    <w:rsid w:val="0059277E"/>
    <w:rsid w:val="0060785A"/>
    <w:rsid w:val="006270E7"/>
    <w:rsid w:val="00642EEB"/>
    <w:rsid w:val="006866FD"/>
    <w:rsid w:val="00692F0F"/>
    <w:rsid w:val="006A1B77"/>
    <w:rsid w:val="006A64DC"/>
    <w:rsid w:val="006E1210"/>
    <w:rsid w:val="006E3507"/>
    <w:rsid w:val="007303C8"/>
    <w:rsid w:val="00771791"/>
    <w:rsid w:val="00771E3E"/>
    <w:rsid w:val="007D79FB"/>
    <w:rsid w:val="007F7A2D"/>
    <w:rsid w:val="0083291A"/>
    <w:rsid w:val="008339F6"/>
    <w:rsid w:val="00883B1F"/>
    <w:rsid w:val="008937AF"/>
    <w:rsid w:val="008A3730"/>
    <w:rsid w:val="008C0BD7"/>
    <w:rsid w:val="008C70B3"/>
    <w:rsid w:val="008E34FA"/>
    <w:rsid w:val="008F7C22"/>
    <w:rsid w:val="009065C1"/>
    <w:rsid w:val="00964311"/>
    <w:rsid w:val="009A764C"/>
    <w:rsid w:val="009C35A3"/>
    <w:rsid w:val="009F1533"/>
    <w:rsid w:val="00A144EE"/>
    <w:rsid w:val="00A20A00"/>
    <w:rsid w:val="00A25FCB"/>
    <w:rsid w:val="00A91BDD"/>
    <w:rsid w:val="00AB0224"/>
    <w:rsid w:val="00AB34E1"/>
    <w:rsid w:val="00AD37C4"/>
    <w:rsid w:val="00AD6B68"/>
    <w:rsid w:val="00B15DB7"/>
    <w:rsid w:val="00B22BF5"/>
    <w:rsid w:val="00B27315"/>
    <w:rsid w:val="00B51A63"/>
    <w:rsid w:val="00B55D48"/>
    <w:rsid w:val="00B63501"/>
    <w:rsid w:val="00B912E8"/>
    <w:rsid w:val="00BA11B4"/>
    <w:rsid w:val="00BC429E"/>
    <w:rsid w:val="00BE0EDF"/>
    <w:rsid w:val="00BE12A6"/>
    <w:rsid w:val="00C37A21"/>
    <w:rsid w:val="00C41434"/>
    <w:rsid w:val="00C42D77"/>
    <w:rsid w:val="00C456F6"/>
    <w:rsid w:val="00C47C35"/>
    <w:rsid w:val="00C657D2"/>
    <w:rsid w:val="00C83791"/>
    <w:rsid w:val="00CE59F3"/>
    <w:rsid w:val="00D05B50"/>
    <w:rsid w:val="00D25D7E"/>
    <w:rsid w:val="00D418ED"/>
    <w:rsid w:val="00D67938"/>
    <w:rsid w:val="00D77168"/>
    <w:rsid w:val="00DC0001"/>
    <w:rsid w:val="00DC59A9"/>
    <w:rsid w:val="00DE055A"/>
    <w:rsid w:val="00DE6E98"/>
    <w:rsid w:val="00E27C46"/>
    <w:rsid w:val="00E4436C"/>
    <w:rsid w:val="00E64B7C"/>
    <w:rsid w:val="00E70CEA"/>
    <w:rsid w:val="00E70E0C"/>
    <w:rsid w:val="00E77849"/>
    <w:rsid w:val="00EA780C"/>
    <w:rsid w:val="00EF6DA8"/>
    <w:rsid w:val="00F435AC"/>
    <w:rsid w:val="00F66534"/>
    <w:rsid w:val="00F673C1"/>
    <w:rsid w:val="00FA114C"/>
    <w:rsid w:val="00FB0C9E"/>
    <w:rsid w:val="00FE057C"/>
    <w:rsid w:val="00FE430B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Sylfaen" pitchFamily="18" charset="0"/>
            </a:rPr>
            <a:t>ფაქტობრივი გარემოებები</a:t>
          </a:r>
          <a:endParaRPr lang="en-US" sz="11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/>
        </a:p>
      </dgm:t>
    </dgm:pt>
    <dgm:pt modelId="{FEABC0E6-7B70-44F3-B8B5-8EBCD8C6550A}">
      <dgm:prSet phldrT="[Text]"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საწარმომ მოახდინა ძირითადი საშუალების-შენობის-აფასება საბაზრო ღირებულებით და ფასთა</a:t>
          </a:r>
          <a:r>
            <a:rPr lang="en-US" sz="1100">
              <a:latin typeface="Sylfaen" pitchFamily="18" charset="0"/>
            </a:rPr>
            <a:t> </a:t>
          </a:r>
          <a:r>
            <a:rPr lang="ka-GE" sz="1100">
              <a:latin typeface="Sylfaen" pitchFamily="18" charset="0"/>
            </a:rPr>
            <a:t>სხვაობა ასახა სარეზერვო კაპიტალში</a:t>
          </a:r>
          <a:endParaRPr lang="en-US" sz="1100">
            <a:latin typeface="Sylfaen" pitchFamily="18" charset="0"/>
          </a:endParaRP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endParaRPr lang="en-US" sz="1000">
            <a:latin typeface="Sylfaen" pitchFamily="18" charset="0"/>
          </a:endParaRPr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endParaRPr lang="en-US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Sylfaen" pitchFamily="18" charset="0"/>
            </a:rPr>
            <a:t>შეფასება</a:t>
          </a:r>
          <a:endParaRPr lang="en-US" sz="11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Sylfaen" pitchFamily="18" charset="0"/>
            </a:rPr>
            <a:t>ღონისძიებები</a:t>
          </a:r>
          <a:endParaRPr lang="en-US" sz="11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/>
        </a:p>
      </dgm:t>
    </dgm:pt>
    <dgm:pt modelId="{F75D2796-6136-4510-8AB8-67405CBEA678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</a:t>
          </a:r>
          <a:r>
            <a:rPr lang="en-US" sz="1100">
              <a:latin typeface="Sylfaen" pitchFamily="18" charset="0"/>
            </a:rPr>
            <a:t>I</a:t>
          </a:r>
          <a:r>
            <a:rPr lang="ka-GE" sz="1100">
              <a:latin typeface="Sylfaen" pitchFamily="18" charset="0"/>
            </a:rPr>
            <a:t>:</a:t>
          </a:r>
        </a:p>
        <a:p>
          <a:r>
            <a:rPr lang="ka-GE" sz="1100">
              <a:latin typeface="Sylfaen" pitchFamily="18" charset="0"/>
            </a:rPr>
            <a:t> ქონება აფასებული ღირებულებით აფასების წელს შეტანილ იქნა სხვა საწარმოს კაპიტალში 50%-ზე მეტი წილის სანაცვლოდ</a:t>
          </a:r>
          <a:endParaRPr lang="ru-RU" sz="1100">
            <a:latin typeface="Sylfaen" pitchFamily="18" charset="0"/>
          </a:endParaRPr>
        </a:p>
      </dgm:t>
    </dgm:pt>
    <dgm:pt modelId="{A8AEB44A-3478-4D4B-A88F-3232049ADD09}" type="parTrans" cxnId="{B361BA2A-422A-4046-9371-09ED539FD6D3}">
      <dgm:prSet/>
      <dgm:spPr/>
      <dgm:t>
        <a:bodyPr/>
        <a:lstStyle/>
        <a:p>
          <a:endParaRPr lang="ru-RU" sz="1000">
            <a:latin typeface="Sylfaen" pitchFamily="18" charset="0"/>
          </a:endParaRPr>
        </a:p>
      </dgm:t>
    </dgm:pt>
    <dgm:pt modelId="{85BCF18B-E92F-4769-B344-2843F1E3C29D}" type="sibTrans" cxnId="{B361BA2A-422A-4046-9371-09ED539FD6D3}">
      <dgm:prSet/>
      <dgm:spPr/>
      <dgm:t>
        <a:bodyPr/>
        <a:lstStyle/>
        <a:p>
          <a:endParaRPr lang="ru-RU"/>
        </a:p>
      </dgm:t>
    </dgm:pt>
    <dgm:pt modelId="{C36F7595-52AB-4B9C-82AF-E595A9A6FC7F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ბ</a:t>
          </a:r>
          <a:r>
            <a:rPr lang="ka-GE" sz="1100">
              <a:latin typeface="Sylfaen" pitchFamily="18" charset="0"/>
            </a:rPr>
            <a:t>ასს 16-ის მიხედვით, საწარმო ვალდებულია რეალურად განსაზღვროს აქტივების ღირებულება და აფასების შედეგად მიღებული ფასთასხვაობა დასვას სარეზერვო კაპიტალში</a:t>
          </a:r>
          <a:endParaRPr lang="en-US" sz="1100">
            <a:latin typeface="Sylfaen" pitchFamily="18" charset="0"/>
          </a:endParaRPr>
        </a:p>
      </dgm:t>
    </dgm:pt>
    <dgm:pt modelId="{16C636A5-EE18-476E-8F05-E5302B3FEAC9}" type="parTrans" cxnId="{4FCDFB09-E4A3-4B12-A67B-CCE973E339F5}">
      <dgm:prSet/>
      <dgm:spPr/>
      <dgm:t>
        <a:bodyPr/>
        <a:lstStyle/>
        <a:p>
          <a:endParaRPr lang="en-US" sz="1000">
            <a:latin typeface="Sylfaen" pitchFamily="18" charset="0"/>
          </a:endParaRPr>
        </a:p>
      </dgm:t>
    </dgm:pt>
    <dgm:pt modelId="{5C4B7EDB-36EE-4A6D-B44E-FA6E0B63F622}" type="sibTrans" cxnId="{4FCDFB09-E4A3-4B12-A67B-CCE973E339F5}">
      <dgm:prSet/>
      <dgm:spPr/>
      <dgm:t>
        <a:bodyPr/>
        <a:lstStyle/>
        <a:p>
          <a:endParaRPr lang="en-US"/>
        </a:p>
      </dgm:t>
    </dgm:pt>
    <dgm:pt modelId="{831FB4F0-2061-428A-8DCB-462685D47443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ვ</a:t>
          </a:r>
          <a:r>
            <a:rPr lang="ka-GE" sz="1100">
              <a:latin typeface="Sylfaen" pitchFamily="18" charset="0"/>
            </a:rPr>
            <a:t>არიანტი </a:t>
          </a:r>
          <a:r>
            <a:rPr lang="en-US" sz="1100">
              <a:latin typeface="Sylfaen" pitchFamily="18" charset="0"/>
            </a:rPr>
            <a:t>II</a:t>
          </a:r>
          <a:r>
            <a:rPr lang="ka-GE" sz="1100">
              <a:latin typeface="Sylfaen" pitchFamily="18" charset="0"/>
            </a:rPr>
            <a:t>:</a:t>
          </a:r>
        </a:p>
        <a:p>
          <a:r>
            <a:rPr lang="ka-GE" sz="1100">
              <a:latin typeface="Sylfaen" pitchFamily="18" charset="0"/>
            </a:rPr>
            <a:t> ქონება აფასებული ღირებულებით აფასების წელს შეტანილ იქნა სხვა საწარმოს კაპიტალში 50%-ზე ნაკლები წილის სანაცვლოდ</a:t>
          </a:r>
          <a:endParaRPr lang="en-US" sz="1100">
            <a:latin typeface="Sylfaen" pitchFamily="18" charset="0"/>
          </a:endParaRPr>
        </a:p>
      </dgm:t>
    </dgm:pt>
    <dgm:pt modelId="{DB2F730D-819A-489A-97F7-C4C0027FDF72}" type="parTrans" cxnId="{41F83E76-2A4D-424D-9D1E-D419038FA22E}">
      <dgm:prSet/>
      <dgm:spPr/>
      <dgm:t>
        <a:bodyPr/>
        <a:lstStyle/>
        <a:p>
          <a:endParaRPr lang="en-US" sz="1000">
            <a:latin typeface="Sylfaen" pitchFamily="18" charset="0"/>
          </a:endParaRPr>
        </a:p>
      </dgm:t>
    </dgm:pt>
    <dgm:pt modelId="{70014B4D-5560-4EE4-9944-41291DF695BF}" type="sibTrans" cxnId="{41F83E76-2A4D-424D-9D1E-D419038FA22E}">
      <dgm:prSet/>
      <dgm:spPr/>
      <dgm:t>
        <a:bodyPr/>
        <a:lstStyle/>
        <a:p>
          <a:endParaRPr lang="en-US"/>
        </a:p>
      </dgm:t>
    </dgm:pt>
    <dgm:pt modelId="{88829CBD-DBC4-4D5E-A618-A27F422E943F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მე-2 ვარიანტში, შენობის საბაზრო ღირებულებით გაიზრდება საწარმოს ერთობლივი შემოსავალი</a:t>
          </a:r>
          <a:endParaRPr lang="en-US" sz="1100" b="0">
            <a:latin typeface="Sylfaen" pitchFamily="18" charset="0"/>
          </a:endParaRPr>
        </a:p>
      </dgm:t>
    </dgm:pt>
    <dgm:pt modelId="{743F8CC8-A079-4A62-AEFC-69C4C469E2ED}" type="parTrans" cxnId="{F149744A-01B0-45B8-BBC5-77CA3F4B4948}">
      <dgm:prSet/>
      <dgm:spPr/>
      <dgm:t>
        <a:bodyPr/>
        <a:lstStyle/>
        <a:p>
          <a:endParaRPr lang="en-US" sz="1000">
            <a:latin typeface="Sylfaen" pitchFamily="18" charset="0"/>
          </a:endParaRPr>
        </a:p>
      </dgm:t>
    </dgm:pt>
    <dgm:pt modelId="{62540860-745C-4B28-8AB8-945C702CFD4D}" type="sibTrans" cxnId="{F149744A-01B0-45B8-BBC5-77CA3F4B4948}">
      <dgm:prSet/>
      <dgm:spPr/>
      <dgm:t>
        <a:bodyPr/>
        <a:lstStyle/>
        <a:p>
          <a:endParaRPr lang="en-US"/>
        </a:p>
      </dgm:t>
    </dgm:pt>
    <dgm:pt modelId="{42E08311-4701-4887-8029-62F10990CEA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პირმა გასხვისებული შენობის საბაზრო ღირებულება არ შეიტანა ერთობლივ შემოსავალში</a:t>
          </a:r>
          <a:endParaRPr lang="en-US" sz="1100">
            <a:latin typeface="Sylfaen" pitchFamily="18" charset="0"/>
          </a:endParaRPr>
        </a:p>
      </dgm:t>
    </dgm:pt>
    <dgm:pt modelId="{4DDA768A-4623-4630-9ED2-D4EB83B60A74}" type="parTrans" cxnId="{04BFB451-5DF3-477C-ACE0-F085B8D1E7E5}">
      <dgm:prSet/>
      <dgm:spPr/>
      <dgm:t>
        <a:bodyPr/>
        <a:lstStyle/>
        <a:p>
          <a:endParaRPr lang="en-US" sz="1000">
            <a:latin typeface="Sylfaen" pitchFamily="18" charset="0"/>
          </a:endParaRPr>
        </a:p>
      </dgm:t>
    </dgm:pt>
    <dgm:pt modelId="{9B1D9EB1-4011-4090-A313-9F4A46BE08A6}" type="sibTrans" cxnId="{04BFB451-5DF3-477C-ACE0-F085B8D1E7E5}">
      <dgm:prSet/>
      <dgm:spPr/>
      <dgm:t>
        <a:bodyPr/>
        <a:lstStyle/>
        <a:p>
          <a:endParaRPr lang="en-US"/>
        </a:p>
      </dgm:t>
    </dgm:pt>
    <dgm:pt modelId="{EEF02EE8-9A45-442A-BF01-D4ADF5FA48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დაბეგვრის მიზნებისათვის, ქონების აფასებით მიღებული სხვაობა არ წარმოადგენს მოგების გადასახადით დაბეგვრის ობიექტს</a:t>
          </a:r>
          <a:endParaRPr lang="en-US" sz="1100">
            <a:latin typeface="Sylfaen" pitchFamily="18" charset="0"/>
          </a:endParaRPr>
        </a:p>
      </dgm:t>
    </dgm:pt>
    <dgm:pt modelId="{45A38B62-DCC8-4D35-9D5D-5DC808C57C4A}" type="parTrans" cxnId="{DA225FF0-06F9-4B6D-9C16-D3C549966B33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3AC07930-BDE3-4A23-A3C5-4307A19C05F9}" type="sibTrans" cxnId="{DA225FF0-06F9-4B6D-9C16-D3C549966B33}">
      <dgm:prSet/>
      <dgm:spPr/>
      <dgm:t>
        <a:bodyPr/>
        <a:lstStyle/>
        <a:p>
          <a:endParaRPr lang="en-US"/>
        </a:p>
      </dgm:t>
    </dgm:pt>
    <dgm:pt modelId="{C4552129-A91A-4E31-A049-95C933EDA3BE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ორივე ვარიანტში, დაზუსტდება შესაბამისი პერიოდის გამოქვითვები</a:t>
          </a:r>
          <a:endParaRPr lang="en-US" sz="1100" b="0">
            <a:latin typeface="Sylfaen" pitchFamily="18" charset="0"/>
          </a:endParaRPr>
        </a:p>
      </dgm:t>
    </dgm:pt>
    <dgm:pt modelId="{71E58A60-A43B-4C5B-922A-700E4B588FB3}" type="parTrans" cxnId="{6D7C7665-58E1-4387-877E-05295C2A4D09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D758BAA1-1818-4327-9B50-B58087806330}" type="sibTrans" cxnId="{6D7C7665-58E1-4387-877E-05295C2A4D09}">
      <dgm:prSet/>
      <dgm:spPr/>
      <dgm:t>
        <a:bodyPr/>
        <a:lstStyle/>
        <a:p>
          <a:endParaRPr lang="en-US"/>
        </a:p>
      </dgm:t>
    </dgm:pt>
    <dgm:pt modelId="{0D067721-5310-49D1-892F-B0F36CFC0F9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პირველ ვარიანტში:</a:t>
          </a:r>
        </a:p>
        <a:p>
          <a:r>
            <a:rPr lang="ka-GE" sz="1100">
              <a:latin typeface="Sylfaen" pitchFamily="18" charset="0"/>
            </a:rPr>
            <a:t>1. შენობის (მთლიანი ჯგუფის) სხვა საწარმოს კაპიტალში გადაცემა არ ითვლება რეალიზაციად.</a:t>
          </a:r>
        </a:p>
        <a:p>
          <a:r>
            <a:rPr lang="ka-GE" sz="1100">
              <a:latin typeface="Sylfaen" pitchFamily="18" charset="0"/>
            </a:rPr>
            <a:t>2. გადაცემული აქტივის ნარჩენი ღირებულება აფასების გაუთვალისწინებლად ექვემდებარება ხარჯებიდან ამოღებას (ჯგუფის ღირებულებითი ბალანსი განულდება გამოქვითვის გარეშე).   </a:t>
          </a:r>
        </a:p>
        <a:p>
          <a:r>
            <a:rPr lang="ka-GE" sz="1100">
              <a:latin typeface="Sylfaen" pitchFamily="18" charset="0"/>
            </a:rPr>
            <a:t>3. დაბეგვრის მიზნებისათვის, მიმღები მხარისათვის აქტივის ღირებულება იგივეა, რაც გადამცემი მხარისათვის იყო აფასების გაუთვალისწინებლად</a:t>
          </a:r>
          <a:endParaRPr lang="en-US" sz="1100">
            <a:latin typeface="Sylfaen" pitchFamily="18" charset="0"/>
          </a:endParaRPr>
        </a:p>
      </dgm:t>
    </dgm:pt>
    <dgm:pt modelId="{6EDBB833-CED8-4A31-AC52-E735096E63C7}" type="parTrans" cxnId="{22908A63-DDD1-419F-8FA8-2853D643CDAA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B51FA239-C293-4693-803B-EAF62A0C60AA}" type="sibTrans" cxnId="{22908A63-DDD1-419F-8FA8-2853D643CDAA}">
      <dgm:prSet/>
      <dgm:spPr/>
      <dgm:t>
        <a:bodyPr/>
        <a:lstStyle/>
        <a:p>
          <a:endParaRPr lang="en-US"/>
        </a:p>
      </dgm:t>
    </dgm:pt>
    <dgm:pt modelId="{128D1D64-1994-4570-BCBA-CF2C903E1A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მე-2 ვარიანტში:</a:t>
          </a:r>
        </a:p>
        <a:p>
          <a:r>
            <a:rPr lang="ka-GE" sz="1100">
              <a:latin typeface="Sylfaen" pitchFamily="18" charset="0"/>
            </a:rPr>
            <a:t>1. შენობის (მთლიანი ჯგუფის) სხვა საწარმოს კაპიტალში გადაცემა ჩაითვლება საბაზრო ფასით რეალიზაციად.</a:t>
          </a:r>
        </a:p>
        <a:p>
          <a:r>
            <a:rPr lang="ka-GE" sz="1100">
              <a:latin typeface="Sylfaen" pitchFamily="18" charset="0"/>
            </a:rPr>
            <a:t>2. ჯგუფის ღირებულებითი ბალანსი ნულდება და ნამეტი თანხა შეიტანება ერთობლივ შემოსავალში.</a:t>
          </a:r>
        </a:p>
        <a:p>
          <a:r>
            <a:rPr lang="ka-GE" sz="1100">
              <a:latin typeface="Sylfaen" pitchFamily="18" charset="0"/>
            </a:rPr>
            <a:t>3. დაბეგვრის მიზნებისათვის, აქტივის მიმღები მხარისათვის ღირებულება გამოითვლება საბაზრო ფასიდან</a:t>
          </a:r>
          <a:endParaRPr lang="en-US" sz="1100">
            <a:latin typeface="Sylfaen" pitchFamily="18" charset="0"/>
          </a:endParaRPr>
        </a:p>
      </dgm:t>
    </dgm:pt>
    <dgm:pt modelId="{FAFE17F3-4796-4200-829D-1174E18B76E4}" type="parTrans" cxnId="{8D066A33-F3DB-4466-BA17-C40669649CF6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F5E85311-1476-43F2-AF58-DAC6B0579AF6}" type="sibTrans" cxnId="{8D066A33-F3DB-4466-BA17-C40669649CF6}">
      <dgm:prSet/>
      <dgm:spPr/>
      <dgm:t>
        <a:bodyPr/>
        <a:lstStyle/>
        <a:p>
          <a:endParaRPr lang="en-US"/>
        </a:p>
      </dgm:t>
    </dgm:pt>
    <dgm:pt modelId="{819F9068-4FF8-46E6-A946-0138D6B52121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პირი დაჯარიმდება დეკლარაციაში გადასახადის შემცირების შემთხვევაში           (სსკ 132-ე მუხლით) </a:t>
          </a:r>
          <a:endParaRPr lang="en-US" sz="1100" b="0">
            <a:latin typeface="Sylfaen" pitchFamily="18" charset="0"/>
          </a:endParaRPr>
        </a:p>
      </dgm:t>
    </dgm:pt>
    <dgm:pt modelId="{0DB32C83-299B-43F3-98F0-ACCF6D9DD7B2}" type="parTrans" cxnId="{9652F033-2C09-490E-B7BA-F6A1F8F3670D}">
      <dgm:prSet/>
      <dgm:spPr/>
      <dgm:t>
        <a:bodyPr/>
        <a:lstStyle/>
        <a:p>
          <a:endParaRPr lang="en-US"/>
        </a:p>
      </dgm:t>
    </dgm:pt>
    <dgm:pt modelId="{529D936A-ECF8-4487-88A1-D665915272C2}" type="sibTrans" cxnId="{9652F033-2C09-490E-B7BA-F6A1F8F3670D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11190" custScaleY="87560" custLinFactNeighborX="-348" custLinFactNeighborY="-70300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934F8C64-EA97-4C0F-8892-ABF906E6ACBF}" type="pres">
      <dgm:prSet presAssocID="{D0F3CCD6-9413-42AD-AE48-0BE3FC72830A}" presName="Name13" presStyleLbl="parChTrans1D2" presStyleIdx="0" presStyleCnt="11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11" custScaleX="151122" custScaleY="297853" custLinFactNeighborX="-5589" custLinFactNeighborY="-48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6D0EF1-12DD-45A9-9965-399C6BA5264D}" type="pres">
      <dgm:prSet presAssocID="{A8AEB44A-3478-4D4B-A88F-3232049ADD09}" presName="Name13" presStyleLbl="parChTrans1D2" presStyleIdx="1" presStyleCnt="11"/>
      <dgm:spPr/>
      <dgm:t>
        <a:bodyPr/>
        <a:lstStyle/>
        <a:p>
          <a:endParaRPr lang="en-US"/>
        </a:p>
      </dgm:t>
    </dgm:pt>
    <dgm:pt modelId="{63226DBD-00AA-4252-BE2D-274312C6A0F4}" type="pres">
      <dgm:prSet presAssocID="{F75D2796-6136-4510-8AB8-67405CBEA678}" presName="childText" presStyleLbl="bgAcc1" presStyleIdx="1" presStyleCnt="11" custScaleX="148584" custScaleY="324964" custLinFactNeighborX="-4925" custLinFactNeighborY="34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CE0177-C3DE-4B01-A5F3-2471D3040860}" type="pres">
      <dgm:prSet presAssocID="{DB2F730D-819A-489A-97F7-C4C0027FDF72}" presName="Name13" presStyleLbl="parChTrans1D2" presStyleIdx="2" presStyleCnt="11"/>
      <dgm:spPr/>
      <dgm:t>
        <a:bodyPr/>
        <a:lstStyle/>
        <a:p>
          <a:endParaRPr lang="en-US"/>
        </a:p>
      </dgm:t>
    </dgm:pt>
    <dgm:pt modelId="{A31CC5EC-3466-4E82-A77E-97F71246D137}" type="pres">
      <dgm:prSet presAssocID="{831FB4F0-2061-428A-8DCB-462685D47443}" presName="childText" presStyleLbl="bgAcc1" presStyleIdx="2" presStyleCnt="11" custScaleX="146475" custScaleY="329090" custLinFactNeighborX="-3157" custLinFactNeighborY="64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F72B54-E90C-4F9F-9CF9-040AADB539A0}" type="pres">
      <dgm:prSet presAssocID="{4DDA768A-4623-4630-9ED2-D4EB83B60A74}" presName="Name13" presStyleLbl="parChTrans1D2" presStyleIdx="3" presStyleCnt="11"/>
      <dgm:spPr/>
      <dgm:t>
        <a:bodyPr/>
        <a:lstStyle/>
        <a:p>
          <a:endParaRPr lang="en-US"/>
        </a:p>
      </dgm:t>
    </dgm:pt>
    <dgm:pt modelId="{9930F9A2-A14B-4552-9A43-35433B926402}" type="pres">
      <dgm:prSet presAssocID="{42E08311-4701-4887-8029-62F10990CEA6}" presName="childText" presStyleLbl="bgAcc1" presStyleIdx="3" presStyleCnt="11" custScaleX="144657" custScaleY="229833" custLinFactNeighborX="959" custLinFactNeighborY="72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62568" custScaleY="89548" custLinFactNeighborX="-832" custLinFactNeighborY="-70300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4C24076-7438-4BD7-91B7-A67D7E7E1A68}" type="pres">
      <dgm:prSet presAssocID="{16C636A5-EE18-476E-8F05-E5302B3FEAC9}" presName="Name13" presStyleLbl="parChTrans1D2" presStyleIdx="4" presStyleCnt="11"/>
      <dgm:spPr/>
      <dgm:t>
        <a:bodyPr/>
        <a:lstStyle/>
        <a:p>
          <a:endParaRPr lang="en-US"/>
        </a:p>
      </dgm:t>
    </dgm:pt>
    <dgm:pt modelId="{A773B4EA-7133-4562-8ABE-4EFB0D01ADB2}" type="pres">
      <dgm:prSet presAssocID="{C36F7595-52AB-4B9C-82AF-E595A9A6FC7F}" presName="childText" presStyleLbl="bgAcc1" presStyleIdx="4" presStyleCnt="11" custScaleX="223425" custScaleY="252127" custLinFactNeighborX="-4678" custLinFactNeighborY="-329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498F05-1646-4F38-9E07-6B44C37F7AD7}" type="pres">
      <dgm:prSet presAssocID="{45A38B62-DCC8-4D35-9D5D-5DC808C57C4A}" presName="Name13" presStyleLbl="parChTrans1D2" presStyleIdx="5" presStyleCnt="11"/>
      <dgm:spPr/>
      <dgm:t>
        <a:bodyPr/>
        <a:lstStyle/>
        <a:p>
          <a:endParaRPr lang="en-US"/>
        </a:p>
      </dgm:t>
    </dgm:pt>
    <dgm:pt modelId="{E3E17CA4-18A8-4A75-B8DB-2E346510A037}" type="pres">
      <dgm:prSet presAssocID="{EEF02EE8-9A45-442A-BF01-D4ADF5FA484D}" presName="childText" presStyleLbl="bgAcc1" presStyleIdx="5" presStyleCnt="11" custScaleX="228868" custScaleY="173678" custLinFactNeighborX="-3720" custLinFactNeighborY="-373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76A7DB-EAFC-4080-8AE5-FD3550D233F7}" type="pres">
      <dgm:prSet presAssocID="{6EDBB833-CED8-4A31-AC52-E735096E63C7}" presName="Name13" presStyleLbl="parChTrans1D2" presStyleIdx="6" presStyleCnt="11"/>
      <dgm:spPr/>
      <dgm:t>
        <a:bodyPr/>
        <a:lstStyle/>
        <a:p>
          <a:endParaRPr lang="en-US"/>
        </a:p>
      </dgm:t>
    </dgm:pt>
    <dgm:pt modelId="{CC49373E-BFFB-4657-8DC9-EAB47A505C3C}" type="pres">
      <dgm:prSet presAssocID="{0D067721-5310-49D1-892F-B0F36CFC0F96}" presName="childText" presStyleLbl="bgAcc1" presStyleIdx="6" presStyleCnt="11" custScaleX="250643" custScaleY="574913" custLinFactNeighborX="-10624" custLinFactNeighborY="-378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1CECD2-17A4-4FD8-ACB1-922E805C648D}" type="pres">
      <dgm:prSet presAssocID="{FAFE17F3-4796-4200-829D-1174E18B76E4}" presName="Name13" presStyleLbl="parChTrans1D2" presStyleIdx="7" presStyleCnt="11"/>
      <dgm:spPr/>
      <dgm:t>
        <a:bodyPr/>
        <a:lstStyle/>
        <a:p>
          <a:endParaRPr lang="en-US"/>
        </a:p>
      </dgm:t>
    </dgm:pt>
    <dgm:pt modelId="{94FD9E40-E577-482E-A5C8-1906E68392B4}" type="pres">
      <dgm:prSet presAssocID="{128D1D64-1994-4570-BCBA-CF2C903E1A6A}" presName="childText" presStyleLbl="bgAcc1" presStyleIdx="7" presStyleCnt="11" custScaleX="247060" custScaleY="425701" custLinFactNeighborX="-5432" custLinFactNeighborY="-539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09397" custScaleY="83287" custLinFactNeighborX="-7820" custLinFactNeighborY="-70300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D728B3FA-46F6-40EB-AAB9-96779CA72AA9}" type="pres">
      <dgm:prSet presAssocID="{743F8CC8-A079-4A62-AEFC-69C4C469E2ED}" presName="Name13" presStyleLbl="parChTrans1D2" presStyleIdx="8" presStyleCnt="11"/>
      <dgm:spPr/>
      <dgm:t>
        <a:bodyPr/>
        <a:lstStyle/>
        <a:p>
          <a:endParaRPr lang="en-US"/>
        </a:p>
      </dgm:t>
    </dgm:pt>
    <dgm:pt modelId="{8AE2C7A3-169B-43FB-B52A-20BCA442D69E}" type="pres">
      <dgm:prSet presAssocID="{88829CBD-DBC4-4D5E-A618-A27F422E943F}" presName="childText" presStyleLbl="bgAcc1" presStyleIdx="8" presStyleCnt="11" custScaleX="159488" custScaleY="217053" custLinFactNeighborX="-10608" custLinFactNeighborY="-324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87599-D2DD-46C2-A1DE-A3C7E1F6796F}" type="pres">
      <dgm:prSet presAssocID="{71E58A60-A43B-4C5B-922A-700E4B588FB3}" presName="Name13" presStyleLbl="parChTrans1D2" presStyleIdx="9" presStyleCnt="11"/>
      <dgm:spPr/>
      <dgm:t>
        <a:bodyPr/>
        <a:lstStyle/>
        <a:p>
          <a:endParaRPr lang="en-US"/>
        </a:p>
      </dgm:t>
    </dgm:pt>
    <dgm:pt modelId="{4176BC4E-0F9A-4AB9-90F5-29F3991E9635}" type="pres">
      <dgm:prSet presAssocID="{C4552129-A91A-4E31-A049-95C933EDA3BE}" presName="childText" presStyleLbl="bgAcc1" presStyleIdx="9" presStyleCnt="11" custScaleX="151976" custScaleY="168402" custLinFactNeighborX="-7056" custLinFactNeighborY="-100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6D6BE4-EA15-4207-8886-342FB11053CC}" type="pres">
      <dgm:prSet presAssocID="{0DB32C83-299B-43F3-98F0-ACCF6D9DD7B2}" presName="Name13" presStyleLbl="parChTrans1D2" presStyleIdx="10" presStyleCnt="11"/>
      <dgm:spPr/>
      <dgm:t>
        <a:bodyPr/>
        <a:lstStyle/>
        <a:p>
          <a:endParaRPr lang="en-US"/>
        </a:p>
      </dgm:t>
    </dgm:pt>
    <dgm:pt modelId="{0426F2DE-2349-46F4-8860-840FF21C42AD}" type="pres">
      <dgm:prSet presAssocID="{819F9068-4FF8-46E6-A946-0138D6B52121}" presName="childText" presStyleLbl="bgAcc1" presStyleIdx="10" presStyleCnt="11" custScaleX="158039" custScaleY="193035" custLinFactNeighborX="-5712" custLinFactNeighborY="26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AF525B-19F6-4C78-994E-B48590791891}" type="presOf" srcId="{6EDBB833-CED8-4A31-AC52-E735096E63C7}" destId="{7A76A7DB-EAFC-4080-8AE5-FD3550D233F7}" srcOrd="0" destOrd="0" presId="urn:microsoft.com/office/officeart/2005/8/layout/hierarchy3"/>
    <dgm:cxn modelId="{6D7C7665-58E1-4387-877E-05295C2A4D09}" srcId="{E40EDAB5-D188-4812-A61A-95A9AC19C0AE}" destId="{C4552129-A91A-4E31-A049-95C933EDA3BE}" srcOrd="1" destOrd="0" parTransId="{71E58A60-A43B-4C5B-922A-700E4B588FB3}" sibTransId="{D758BAA1-1818-4327-9B50-B58087806330}"/>
    <dgm:cxn modelId="{4F96CF97-B911-497A-810A-CCABE59ED0B0}" type="presOf" srcId="{0864151C-55A8-4402-A51E-35DDE1DCFDCF}" destId="{F5A8D68E-1317-4112-8179-3D951CA9F398}" srcOrd="1" destOrd="0" presId="urn:microsoft.com/office/officeart/2005/8/layout/hierarchy3"/>
    <dgm:cxn modelId="{8BCEC0E7-E90E-4636-9F3A-9DCEF04549C9}" type="presOf" srcId="{FAFE17F3-4796-4200-829D-1174E18B76E4}" destId="{561CECD2-17A4-4FD8-ACB1-922E805C648D}" srcOrd="0" destOrd="0" presId="urn:microsoft.com/office/officeart/2005/8/layout/hierarchy3"/>
    <dgm:cxn modelId="{E7EDCB6E-84F6-474F-B0F6-D88D34C99DC2}" type="presOf" srcId="{D0F3CCD6-9413-42AD-AE48-0BE3FC72830A}" destId="{934F8C64-EA97-4C0F-8892-ABF906E6ACBF}" srcOrd="0" destOrd="0" presId="urn:microsoft.com/office/officeart/2005/8/layout/hierarchy3"/>
    <dgm:cxn modelId="{5CD26223-4CD8-482D-A7B0-4036ABC7DE36}" type="presOf" srcId="{F75D2796-6136-4510-8AB8-67405CBEA678}" destId="{63226DBD-00AA-4252-BE2D-274312C6A0F4}" srcOrd="0" destOrd="0" presId="urn:microsoft.com/office/officeart/2005/8/layout/hierarchy3"/>
    <dgm:cxn modelId="{B361BA2A-422A-4046-9371-09ED539FD6D3}" srcId="{6EDDC9A4-7743-45A1-A47F-DDC8AA334378}" destId="{F75D2796-6136-4510-8AB8-67405CBEA678}" srcOrd="1" destOrd="0" parTransId="{A8AEB44A-3478-4D4B-A88F-3232049ADD09}" sibTransId="{85BCF18B-E92F-4769-B344-2843F1E3C29D}"/>
    <dgm:cxn modelId="{3365ADE8-3C32-4A4C-B665-AD08657B134A}" type="presOf" srcId="{A8AEB44A-3478-4D4B-A88F-3232049ADD09}" destId="{B86D0EF1-12DD-45A9-9965-399C6BA5264D}" srcOrd="0" destOrd="0" presId="urn:microsoft.com/office/officeart/2005/8/layout/hierarchy3"/>
    <dgm:cxn modelId="{D7366387-9FB8-469B-BB07-9643A4C98B98}" type="presOf" srcId="{6EDDC9A4-7743-45A1-A47F-DDC8AA334378}" destId="{1A83EF98-3231-40EA-B1D6-7E43DBA651A6}" srcOrd="0" destOrd="0" presId="urn:microsoft.com/office/officeart/2005/8/layout/hierarchy3"/>
    <dgm:cxn modelId="{B0799CE4-AB95-4EED-B9C5-8FCF75C0776C}" type="presOf" srcId="{16C636A5-EE18-476E-8F05-E5302B3FEAC9}" destId="{54C24076-7438-4BD7-91B7-A67D7E7E1A68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22908A63-DDD1-419F-8FA8-2853D643CDAA}" srcId="{0864151C-55A8-4402-A51E-35DDE1DCFDCF}" destId="{0D067721-5310-49D1-892F-B0F36CFC0F96}" srcOrd="2" destOrd="0" parTransId="{6EDBB833-CED8-4A31-AC52-E735096E63C7}" sibTransId="{B51FA239-C293-4693-803B-EAF62A0C60AA}"/>
    <dgm:cxn modelId="{F0B40355-F1E5-4199-BF2E-26ED992FF62C}" type="presOf" srcId="{819F9068-4FF8-46E6-A946-0138D6B52121}" destId="{0426F2DE-2349-46F4-8860-840FF21C42AD}" srcOrd="0" destOrd="0" presId="urn:microsoft.com/office/officeart/2005/8/layout/hierarchy3"/>
    <dgm:cxn modelId="{5EE2055D-1030-4F63-A841-32B9A8618DCA}" type="presOf" srcId="{AF2C8C0F-097D-4DC9-9C67-E8D19F634135}" destId="{B388476D-662D-499E-86FF-075E40B9B116}" srcOrd="0" destOrd="0" presId="urn:microsoft.com/office/officeart/2005/8/layout/hierarchy3"/>
    <dgm:cxn modelId="{D66442B8-2713-4BC3-A379-DA9EB10FCEDB}" type="presOf" srcId="{E40EDAB5-D188-4812-A61A-95A9AC19C0AE}" destId="{FA81A31F-68B4-47C4-B547-823393526F80}" srcOrd="1" destOrd="0" presId="urn:microsoft.com/office/officeart/2005/8/layout/hierarchy3"/>
    <dgm:cxn modelId="{153D3B12-8F25-410C-BC63-B0985B79BE49}" type="presOf" srcId="{4DDA768A-4623-4630-9ED2-D4EB83B60A74}" destId="{64F72B54-E90C-4F9F-9CF9-040AADB539A0}" srcOrd="0" destOrd="0" presId="urn:microsoft.com/office/officeart/2005/8/layout/hierarchy3"/>
    <dgm:cxn modelId="{B9DE346B-FED5-4521-B478-8BF114359BFA}" type="presOf" srcId="{743F8CC8-A079-4A62-AEFC-69C4C469E2ED}" destId="{D728B3FA-46F6-40EB-AAB9-96779CA72AA9}" srcOrd="0" destOrd="0" presId="urn:microsoft.com/office/officeart/2005/8/layout/hierarchy3"/>
    <dgm:cxn modelId="{B62627C3-C8A9-4566-A4C4-9598C50F948E}" type="presOf" srcId="{C36F7595-52AB-4B9C-82AF-E595A9A6FC7F}" destId="{A773B4EA-7133-4562-8ABE-4EFB0D01ADB2}" srcOrd="0" destOrd="0" presId="urn:microsoft.com/office/officeart/2005/8/layout/hierarchy3"/>
    <dgm:cxn modelId="{5517EE2A-741A-4423-9220-B5CF1A959BE5}" type="presOf" srcId="{EEF02EE8-9A45-442A-BF01-D4ADF5FA484D}" destId="{E3E17CA4-18A8-4A75-B8DB-2E346510A037}" srcOrd="0" destOrd="0" presId="urn:microsoft.com/office/officeart/2005/8/layout/hierarchy3"/>
    <dgm:cxn modelId="{04BFB451-5DF3-477C-ACE0-F085B8D1E7E5}" srcId="{6EDDC9A4-7743-45A1-A47F-DDC8AA334378}" destId="{42E08311-4701-4887-8029-62F10990CEA6}" srcOrd="3" destOrd="0" parTransId="{4DDA768A-4623-4630-9ED2-D4EB83B60A74}" sibTransId="{9B1D9EB1-4011-4090-A313-9F4A46BE08A6}"/>
    <dgm:cxn modelId="{3CA81232-A394-42C7-B207-7CC21435D1BB}" type="presOf" srcId="{6EDDC9A4-7743-45A1-A47F-DDC8AA334378}" destId="{8E010497-E5A8-4319-AFB0-5D34092ECD88}" srcOrd="1" destOrd="0" presId="urn:microsoft.com/office/officeart/2005/8/layout/hierarchy3"/>
    <dgm:cxn modelId="{3F71EB08-E651-4A48-935A-96FFB1368741}" type="presOf" srcId="{0864151C-55A8-4402-A51E-35DDE1DCFDCF}" destId="{CCF1B5AD-441C-4182-AB14-F5EBF8654620}" srcOrd="0" destOrd="0" presId="urn:microsoft.com/office/officeart/2005/8/layout/hierarchy3"/>
    <dgm:cxn modelId="{4FCDFB09-E4A3-4B12-A67B-CCE973E339F5}" srcId="{0864151C-55A8-4402-A51E-35DDE1DCFDCF}" destId="{C36F7595-52AB-4B9C-82AF-E595A9A6FC7F}" srcOrd="0" destOrd="0" parTransId="{16C636A5-EE18-476E-8F05-E5302B3FEAC9}" sibTransId="{5C4B7EDB-36EE-4A6D-B44E-FA6E0B63F622}"/>
    <dgm:cxn modelId="{399E7A25-FDEE-483E-86BA-AC0FB0817440}" type="presOf" srcId="{128D1D64-1994-4570-BCBA-CF2C903E1A6A}" destId="{94FD9E40-E577-482E-A5C8-1906E68392B4}" srcOrd="0" destOrd="0" presId="urn:microsoft.com/office/officeart/2005/8/layout/hierarchy3"/>
    <dgm:cxn modelId="{A69755BE-9C41-45A2-8E60-A87A8BA97294}" type="presOf" srcId="{C4552129-A91A-4E31-A049-95C933EDA3BE}" destId="{4176BC4E-0F9A-4AB9-90F5-29F3991E9635}" srcOrd="0" destOrd="0" presId="urn:microsoft.com/office/officeart/2005/8/layout/hierarchy3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DA225FF0-06F9-4B6D-9C16-D3C549966B33}" srcId="{0864151C-55A8-4402-A51E-35DDE1DCFDCF}" destId="{EEF02EE8-9A45-442A-BF01-D4ADF5FA484D}" srcOrd="1" destOrd="0" parTransId="{45A38B62-DCC8-4D35-9D5D-5DC808C57C4A}" sibTransId="{3AC07930-BDE3-4A23-A3C5-4307A19C05F9}"/>
    <dgm:cxn modelId="{8D066A33-F3DB-4466-BA17-C40669649CF6}" srcId="{0864151C-55A8-4402-A51E-35DDE1DCFDCF}" destId="{128D1D64-1994-4570-BCBA-CF2C903E1A6A}" srcOrd="3" destOrd="0" parTransId="{FAFE17F3-4796-4200-829D-1174E18B76E4}" sibTransId="{F5E85311-1476-43F2-AF58-DAC6B0579AF6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41F83E76-2A4D-424D-9D1E-D419038FA22E}" srcId="{6EDDC9A4-7743-45A1-A47F-DDC8AA334378}" destId="{831FB4F0-2061-428A-8DCB-462685D47443}" srcOrd="2" destOrd="0" parTransId="{DB2F730D-819A-489A-97F7-C4C0027FDF72}" sibTransId="{70014B4D-5560-4EE4-9944-41291DF695BF}"/>
    <dgm:cxn modelId="{8E65D1B5-85F7-40CF-87EF-D2F1DD5298B6}" type="presOf" srcId="{42E08311-4701-4887-8029-62F10990CEA6}" destId="{9930F9A2-A14B-4552-9A43-35433B926402}" srcOrd="0" destOrd="0" presId="urn:microsoft.com/office/officeart/2005/8/layout/hierarchy3"/>
    <dgm:cxn modelId="{67DC2890-5BBE-4A84-B8FA-87BE6876CA50}" type="presOf" srcId="{E40EDAB5-D188-4812-A61A-95A9AC19C0AE}" destId="{A52CC481-1E94-45D5-998C-116D7F06F43C}" srcOrd="0" destOrd="0" presId="urn:microsoft.com/office/officeart/2005/8/layout/hierarchy3"/>
    <dgm:cxn modelId="{96A44299-DD36-4283-8E42-62450A4DC960}" type="presOf" srcId="{71E58A60-A43B-4C5B-922A-700E4B588FB3}" destId="{21F87599-D2DD-46C2-A1DE-A3C7E1F6796F}" srcOrd="0" destOrd="0" presId="urn:microsoft.com/office/officeart/2005/8/layout/hierarchy3"/>
    <dgm:cxn modelId="{2BA970C1-7F94-4B93-ACC5-EE8D4F6B3FC0}" type="presOf" srcId="{DB2F730D-819A-489A-97F7-C4C0027FDF72}" destId="{D5CE0177-C3DE-4B01-A5F3-2471D3040860}" srcOrd="0" destOrd="0" presId="urn:microsoft.com/office/officeart/2005/8/layout/hierarchy3"/>
    <dgm:cxn modelId="{EDA37668-DC2A-4A6D-A47B-415BD3E81308}" type="presOf" srcId="{45A38B62-DCC8-4D35-9D5D-5DC808C57C4A}" destId="{9A498F05-1646-4F38-9E07-6B44C37F7AD7}" srcOrd="0" destOrd="0" presId="urn:microsoft.com/office/officeart/2005/8/layout/hierarchy3"/>
    <dgm:cxn modelId="{2829526E-DE0C-4DA9-8D3A-B8557F6EB1C0}" type="presOf" srcId="{FEABC0E6-7B70-44F3-B8B5-8EBCD8C6550A}" destId="{FB6A285C-5183-4322-9201-942A845FA662}" srcOrd="0" destOrd="0" presId="urn:microsoft.com/office/officeart/2005/8/layout/hierarchy3"/>
    <dgm:cxn modelId="{11C20AF1-FC40-4655-B179-E149FC8B2E97}" type="presOf" srcId="{0DB32C83-299B-43F3-98F0-ACCF6D9DD7B2}" destId="{926D6BE4-EA15-4207-8886-342FB11053CC}" srcOrd="0" destOrd="0" presId="urn:microsoft.com/office/officeart/2005/8/layout/hierarchy3"/>
    <dgm:cxn modelId="{0BA273C8-14B9-4D12-8B8E-26FBB9C15C6E}" type="presOf" srcId="{88829CBD-DBC4-4D5E-A618-A27F422E943F}" destId="{8AE2C7A3-169B-43FB-B52A-20BCA442D69E}" srcOrd="0" destOrd="0" presId="urn:microsoft.com/office/officeart/2005/8/layout/hierarchy3"/>
    <dgm:cxn modelId="{1A10B657-2FBD-47AA-A710-FD906D0E35DB}" type="presOf" srcId="{0D067721-5310-49D1-892F-B0F36CFC0F96}" destId="{CC49373E-BFFB-4657-8DC9-EAB47A505C3C}" srcOrd="0" destOrd="0" presId="urn:microsoft.com/office/officeart/2005/8/layout/hierarchy3"/>
    <dgm:cxn modelId="{6FF13DF1-FF7D-4959-ABC4-4821EDA68290}" type="presOf" srcId="{831FB4F0-2061-428A-8DCB-462685D47443}" destId="{A31CC5EC-3466-4E82-A77E-97F71246D137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F149744A-01B0-45B8-BBC5-77CA3F4B4948}" srcId="{E40EDAB5-D188-4812-A61A-95A9AC19C0AE}" destId="{88829CBD-DBC4-4D5E-A618-A27F422E943F}" srcOrd="0" destOrd="0" parTransId="{743F8CC8-A079-4A62-AEFC-69C4C469E2ED}" sibTransId="{62540860-745C-4B28-8AB8-945C702CFD4D}"/>
    <dgm:cxn modelId="{9652F033-2C09-490E-B7BA-F6A1F8F3670D}" srcId="{E40EDAB5-D188-4812-A61A-95A9AC19C0AE}" destId="{819F9068-4FF8-46E6-A946-0138D6B52121}" srcOrd="2" destOrd="0" parTransId="{0DB32C83-299B-43F3-98F0-ACCF6D9DD7B2}" sibTransId="{529D936A-ECF8-4487-88A1-D665915272C2}"/>
    <dgm:cxn modelId="{630D9479-2015-434D-9289-B087B50C6C6A}" type="presParOf" srcId="{B388476D-662D-499E-86FF-075E40B9B116}" destId="{4CCE11F2-9671-4C6B-9F76-2C10D78361EF}" srcOrd="0" destOrd="0" presId="urn:microsoft.com/office/officeart/2005/8/layout/hierarchy3"/>
    <dgm:cxn modelId="{11807BEA-9A7A-4AD2-BCCC-D59CDF06258A}" type="presParOf" srcId="{4CCE11F2-9671-4C6B-9F76-2C10D78361EF}" destId="{C557614C-F630-4D5F-BE22-AB9FC945D279}" srcOrd="0" destOrd="0" presId="urn:microsoft.com/office/officeart/2005/8/layout/hierarchy3"/>
    <dgm:cxn modelId="{03DBF17D-F8F8-4893-8161-77DFBF777CE6}" type="presParOf" srcId="{C557614C-F630-4D5F-BE22-AB9FC945D279}" destId="{1A83EF98-3231-40EA-B1D6-7E43DBA651A6}" srcOrd="0" destOrd="0" presId="urn:microsoft.com/office/officeart/2005/8/layout/hierarchy3"/>
    <dgm:cxn modelId="{28BB2EB1-9D9F-4878-B515-D0B042519E0A}" type="presParOf" srcId="{C557614C-F630-4D5F-BE22-AB9FC945D279}" destId="{8E010497-E5A8-4319-AFB0-5D34092ECD88}" srcOrd="1" destOrd="0" presId="urn:microsoft.com/office/officeart/2005/8/layout/hierarchy3"/>
    <dgm:cxn modelId="{1729442B-B655-491F-9C06-A3BDEE26EF51}" type="presParOf" srcId="{4CCE11F2-9671-4C6B-9F76-2C10D78361EF}" destId="{2F8125D7-8EE8-4988-87E0-9DDFA76BED4A}" srcOrd="1" destOrd="0" presId="urn:microsoft.com/office/officeart/2005/8/layout/hierarchy3"/>
    <dgm:cxn modelId="{70D1FE7D-4191-4103-A02D-E5812DD58D32}" type="presParOf" srcId="{2F8125D7-8EE8-4988-87E0-9DDFA76BED4A}" destId="{934F8C64-EA97-4C0F-8892-ABF906E6ACBF}" srcOrd="0" destOrd="0" presId="urn:microsoft.com/office/officeart/2005/8/layout/hierarchy3"/>
    <dgm:cxn modelId="{B81B6926-05CE-47E3-A3BC-2D33E2E01268}" type="presParOf" srcId="{2F8125D7-8EE8-4988-87E0-9DDFA76BED4A}" destId="{FB6A285C-5183-4322-9201-942A845FA662}" srcOrd="1" destOrd="0" presId="urn:microsoft.com/office/officeart/2005/8/layout/hierarchy3"/>
    <dgm:cxn modelId="{00209E12-5274-46E2-BEE7-BE9EC409DA89}" type="presParOf" srcId="{2F8125D7-8EE8-4988-87E0-9DDFA76BED4A}" destId="{B86D0EF1-12DD-45A9-9965-399C6BA5264D}" srcOrd="2" destOrd="0" presId="urn:microsoft.com/office/officeart/2005/8/layout/hierarchy3"/>
    <dgm:cxn modelId="{9DAEC291-AF17-4D75-A866-284FF94EFBB7}" type="presParOf" srcId="{2F8125D7-8EE8-4988-87E0-9DDFA76BED4A}" destId="{63226DBD-00AA-4252-BE2D-274312C6A0F4}" srcOrd="3" destOrd="0" presId="urn:microsoft.com/office/officeart/2005/8/layout/hierarchy3"/>
    <dgm:cxn modelId="{927C9885-CB29-4030-8FBC-BFDDC3A4FDD7}" type="presParOf" srcId="{2F8125D7-8EE8-4988-87E0-9DDFA76BED4A}" destId="{D5CE0177-C3DE-4B01-A5F3-2471D3040860}" srcOrd="4" destOrd="0" presId="urn:microsoft.com/office/officeart/2005/8/layout/hierarchy3"/>
    <dgm:cxn modelId="{15439136-B491-4E62-B780-B133B779F7AD}" type="presParOf" srcId="{2F8125D7-8EE8-4988-87E0-9DDFA76BED4A}" destId="{A31CC5EC-3466-4E82-A77E-97F71246D137}" srcOrd="5" destOrd="0" presId="urn:microsoft.com/office/officeart/2005/8/layout/hierarchy3"/>
    <dgm:cxn modelId="{0774C29F-5D66-4CF7-8A03-AA91BE382008}" type="presParOf" srcId="{2F8125D7-8EE8-4988-87E0-9DDFA76BED4A}" destId="{64F72B54-E90C-4F9F-9CF9-040AADB539A0}" srcOrd="6" destOrd="0" presId="urn:microsoft.com/office/officeart/2005/8/layout/hierarchy3"/>
    <dgm:cxn modelId="{51B156F7-099B-404A-9856-79932C16FA41}" type="presParOf" srcId="{2F8125D7-8EE8-4988-87E0-9DDFA76BED4A}" destId="{9930F9A2-A14B-4552-9A43-35433B926402}" srcOrd="7" destOrd="0" presId="urn:microsoft.com/office/officeart/2005/8/layout/hierarchy3"/>
    <dgm:cxn modelId="{4845DFA8-A917-4426-BD72-2DD31F7C8745}" type="presParOf" srcId="{B388476D-662D-499E-86FF-075E40B9B116}" destId="{2FB5DE3C-867A-44B8-89CD-BAF599600FD9}" srcOrd="1" destOrd="0" presId="urn:microsoft.com/office/officeart/2005/8/layout/hierarchy3"/>
    <dgm:cxn modelId="{4ED43684-0564-4B2F-AB18-F750BE14A047}" type="presParOf" srcId="{2FB5DE3C-867A-44B8-89CD-BAF599600FD9}" destId="{9DE9E381-FFCB-4D13-B9AA-C091B657A585}" srcOrd="0" destOrd="0" presId="urn:microsoft.com/office/officeart/2005/8/layout/hierarchy3"/>
    <dgm:cxn modelId="{56023D74-85B2-44BF-9E8E-C5E71C879C84}" type="presParOf" srcId="{9DE9E381-FFCB-4D13-B9AA-C091B657A585}" destId="{CCF1B5AD-441C-4182-AB14-F5EBF8654620}" srcOrd="0" destOrd="0" presId="urn:microsoft.com/office/officeart/2005/8/layout/hierarchy3"/>
    <dgm:cxn modelId="{7750D75A-04C7-4EB4-9F65-E08B833A2BB4}" type="presParOf" srcId="{9DE9E381-FFCB-4D13-B9AA-C091B657A585}" destId="{F5A8D68E-1317-4112-8179-3D951CA9F398}" srcOrd="1" destOrd="0" presId="urn:microsoft.com/office/officeart/2005/8/layout/hierarchy3"/>
    <dgm:cxn modelId="{2B670918-4CB2-4883-9BDD-8A9F9CB923F4}" type="presParOf" srcId="{2FB5DE3C-867A-44B8-89CD-BAF599600FD9}" destId="{25491ECF-4A66-42F1-8AA3-00082B855958}" srcOrd="1" destOrd="0" presId="urn:microsoft.com/office/officeart/2005/8/layout/hierarchy3"/>
    <dgm:cxn modelId="{526CD73D-F9A9-4938-A304-8D60EBC00F9D}" type="presParOf" srcId="{25491ECF-4A66-42F1-8AA3-00082B855958}" destId="{54C24076-7438-4BD7-91B7-A67D7E7E1A68}" srcOrd="0" destOrd="0" presId="urn:microsoft.com/office/officeart/2005/8/layout/hierarchy3"/>
    <dgm:cxn modelId="{D13EC825-B161-41B2-BC49-52E0D0D4FBF2}" type="presParOf" srcId="{25491ECF-4A66-42F1-8AA3-00082B855958}" destId="{A773B4EA-7133-4562-8ABE-4EFB0D01ADB2}" srcOrd="1" destOrd="0" presId="urn:microsoft.com/office/officeart/2005/8/layout/hierarchy3"/>
    <dgm:cxn modelId="{5D8ADE5E-2A96-4058-97C0-7DA7F8C10641}" type="presParOf" srcId="{25491ECF-4A66-42F1-8AA3-00082B855958}" destId="{9A498F05-1646-4F38-9E07-6B44C37F7AD7}" srcOrd="2" destOrd="0" presId="urn:microsoft.com/office/officeart/2005/8/layout/hierarchy3"/>
    <dgm:cxn modelId="{B405951C-EB10-4868-AFF2-53E427EAE150}" type="presParOf" srcId="{25491ECF-4A66-42F1-8AA3-00082B855958}" destId="{E3E17CA4-18A8-4A75-B8DB-2E346510A037}" srcOrd="3" destOrd="0" presId="urn:microsoft.com/office/officeart/2005/8/layout/hierarchy3"/>
    <dgm:cxn modelId="{9E7232C0-3E51-477B-836F-0FEC9DDDEA18}" type="presParOf" srcId="{25491ECF-4A66-42F1-8AA3-00082B855958}" destId="{7A76A7DB-EAFC-4080-8AE5-FD3550D233F7}" srcOrd="4" destOrd="0" presId="urn:microsoft.com/office/officeart/2005/8/layout/hierarchy3"/>
    <dgm:cxn modelId="{22A39CB3-BBDF-4205-853A-A9DB4D876E0C}" type="presParOf" srcId="{25491ECF-4A66-42F1-8AA3-00082B855958}" destId="{CC49373E-BFFB-4657-8DC9-EAB47A505C3C}" srcOrd="5" destOrd="0" presId="urn:microsoft.com/office/officeart/2005/8/layout/hierarchy3"/>
    <dgm:cxn modelId="{06AC50B4-F0D0-4B69-B3E2-6F9DD838609A}" type="presParOf" srcId="{25491ECF-4A66-42F1-8AA3-00082B855958}" destId="{561CECD2-17A4-4FD8-ACB1-922E805C648D}" srcOrd="6" destOrd="0" presId="urn:microsoft.com/office/officeart/2005/8/layout/hierarchy3"/>
    <dgm:cxn modelId="{1A5350A7-47BB-4182-B943-51A4E5211E6C}" type="presParOf" srcId="{25491ECF-4A66-42F1-8AA3-00082B855958}" destId="{94FD9E40-E577-482E-A5C8-1906E68392B4}" srcOrd="7" destOrd="0" presId="urn:microsoft.com/office/officeart/2005/8/layout/hierarchy3"/>
    <dgm:cxn modelId="{A2E83CE6-26B9-421A-8D54-12CEF9864891}" type="presParOf" srcId="{B388476D-662D-499E-86FF-075E40B9B116}" destId="{B5F88AEE-451A-4C5A-8D98-001CB6888185}" srcOrd="2" destOrd="0" presId="urn:microsoft.com/office/officeart/2005/8/layout/hierarchy3"/>
    <dgm:cxn modelId="{50D8262A-C898-42D7-A4E6-8CA7C0A82CF1}" type="presParOf" srcId="{B5F88AEE-451A-4C5A-8D98-001CB6888185}" destId="{CE3720F1-9340-4685-87FD-D50F37CC033B}" srcOrd="0" destOrd="0" presId="urn:microsoft.com/office/officeart/2005/8/layout/hierarchy3"/>
    <dgm:cxn modelId="{790F6E4C-60E9-4E1F-A159-4399CF054F93}" type="presParOf" srcId="{CE3720F1-9340-4685-87FD-D50F37CC033B}" destId="{A52CC481-1E94-45D5-998C-116D7F06F43C}" srcOrd="0" destOrd="0" presId="urn:microsoft.com/office/officeart/2005/8/layout/hierarchy3"/>
    <dgm:cxn modelId="{A7B2C03D-46B5-4B0E-ADD0-8582806E7D8F}" type="presParOf" srcId="{CE3720F1-9340-4685-87FD-D50F37CC033B}" destId="{FA81A31F-68B4-47C4-B547-823393526F80}" srcOrd="1" destOrd="0" presId="urn:microsoft.com/office/officeart/2005/8/layout/hierarchy3"/>
    <dgm:cxn modelId="{183A8CB7-09DD-4A36-B062-36D0923D23B1}" type="presParOf" srcId="{B5F88AEE-451A-4C5A-8D98-001CB6888185}" destId="{13D5A3C6-CE80-425E-9D29-FCD90E15EBB7}" srcOrd="1" destOrd="0" presId="urn:microsoft.com/office/officeart/2005/8/layout/hierarchy3"/>
    <dgm:cxn modelId="{8D23BF96-0E8F-4EBB-AB1E-AA1E3A91755B}" type="presParOf" srcId="{13D5A3C6-CE80-425E-9D29-FCD90E15EBB7}" destId="{D728B3FA-46F6-40EB-AAB9-96779CA72AA9}" srcOrd="0" destOrd="0" presId="urn:microsoft.com/office/officeart/2005/8/layout/hierarchy3"/>
    <dgm:cxn modelId="{253B55FD-CB34-48BF-9F67-881446270490}" type="presParOf" srcId="{13D5A3C6-CE80-425E-9D29-FCD90E15EBB7}" destId="{8AE2C7A3-169B-43FB-B52A-20BCA442D69E}" srcOrd="1" destOrd="0" presId="urn:microsoft.com/office/officeart/2005/8/layout/hierarchy3"/>
    <dgm:cxn modelId="{D47C18E6-551B-49B0-8CD2-A42D02200B38}" type="presParOf" srcId="{13D5A3C6-CE80-425E-9D29-FCD90E15EBB7}" destId="{21F87599-D2DD-46C2-A1DE-A3C7E1F6796F}" srcOrd="2" destOrd="0" presId="urn:microsoft.com/office/officeart/2005/8/layout/hierarchy3"/>
    <dgm:cxn modelId="{92D0CDAC-ABAF-4CF4-BE10-2A628D40E430}" type="presParOf" srcId="{13D5A3C6-CE80-425E-9D29-FCD90E15EBB7}" destId="{4176BC4E-0F9A-4AB9-90F5-29F3991E9635}" srcOrd="3" destOrd="0" presId="urn:microsoft.com/office/officeart/2005/8/layout/hierarchy3"/>
    <dgm:cxn modelId="{AEED8176-A775-42CF-BA14-B0A50E9E6E62}" type="presParOf" srcId="{13D5A3C6-CE80-425E-9D29-FCD90E15EBB7}" destId="{926D6BE4-EA15-4207-8886-342FB11053CC}" srcOrd="4" destOrd="0" presId="urn:microsoft.com/office/officeart/2005/8/layout/hierarchy3"/>
    <dgm:cxn modelId="{08318180-8EE7-4021-83C3-27678F662C63}" type="presParOf" srcId="{13D5A3C6-CE80-425E-9D29-FCD90E15EBB7}" destId="{0426F2DE-2349-46F4-8860-840FF21C42AD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0" y="0"/>
          <a:ext cx="1264561" cy="49790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ფაქტობრივი გარემოებები</a:t>
          </a:r>
          <a:endParaRPr lang="en-US" sz="1100" b="1" kern="1200">
            <a:latin typeface="Sylfaen" pitchFamily="18" charset="0"/>
          </a:endParaRPr>
        </a:p>
      </dsp:txBody>
      <dsp:txXfrm>
        <a:off x="14583" y="14583"/>
        <a:ext cx="1235395" cy="468743"/>
      </dsp:txXfrm>
    </dsp:sp>
    <dsp:sp modelId="{934F8C64-EA97-4C0F-8892-ABF906E6ACBF}">
      <dsp:nvSpPr>
        <dsp:cNvPr id="0" name=""/>
        <dsp:cNvSpPr/>
      </dsp:nvSpPr>
      <dsp:spPr>
        <a:xfrm>
          <a:off x="80736" y="497909"/>
          <a:ext cx="91440" cy="11588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8851"/>
              </a:lnTo>
              <a:lnTo>
                <a:pt x="124967" y="11588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205704" y="809891"/>
          <a:ext cx="1374966" cy="1693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მოახდინა ძირითადი საშუალების-შენობის-აფასება საბაზრო ღირებულებით და ფასთა</a:t>
          </a:r>
          <a:r>
            <a:rPr lang="en-US" sz="1100" kern="1200">
              <a:latin typeface="Sylfaen" pitchFamily="18" charset="0"/>
            </a:rPr>
            <a:t> </a:t>
          </a:r>
          <a:r>
            <a:rPr lang="ka-GE" sz="1100" kern="1200">
              <a:latin typeface="Sylfaen" pitchFamily="18" charset="0"/>
            </a:rPr>
            <a:t>სხვაობა ასახა სარეზერვო კაპიტალში</a:t>
          </a:r>
          <a:endParaRPr lang="en-US" sz="1100" kern="1200">
            <a:latin typeface="Sylfaen" pitchFamily="18" charset="0"/>
          </a:endParaRPr>
        </a:p>
      </dsp:txBody>
      <dsp:txXfrm>
        <a:off x="245975" y="850162"/>
        <a:ext cx="1294424" cy="1613196"/>
      </dsp:txXfrm>
    </dsp:sp>
    <dsp:sp modelId="{B86D0EF1-12DD-45A9-9965-399C6BA5264D}">
      <dsp:nvSpPr>
        <dsp:cNvPr id="0" name=""/>
        <dsp:cNvSpPr/>
      </dsp:nvSpPr>
      <dsp:spPr>
        <a:xfrm>
          <a:off x="80736" y="497909"/>
          <a:ext cx="91440" cy="3118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8732"/>
              </a:lnTo>
              <a:lnTo>
                <a:pt x="131009" y="3118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26DBD-00AA-4252-BE2D-274312C6A0F4}">
      <dsp:nvSpPr>
        <dsp:cNvPr id="0" name=""/>
        <dsp:cNvSpPr/>
      </dsp:nvSpPr>
      <dsp:spPr>
        <a:xfrm>
          <a:off x="211745" y="2692688"/>
          <a:ext cx="1351874" cy="1847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</a:t>
          </a:r>
          <a:r>
            <a:rPr lang="en-US" sz="1100" kern="1200">
              <a:latin typeface="Sylfaen" pitchFamily="18" charset="0"/>
            </a:rPr>
            <a:t>I</a:t>
          </a:r>
          <a:r>
            <a:rPr lang="ka-GE" sz="1100" kern="1200">
              <a:latin typeface="Sylfae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 ქონება აფასებული ღირებულებით აფასების წელს შეტანილ იქნა სხვა საწარმოს კაპიტალში 50%-ზე მეტი წილის სანაცვლოდ</a:t>
          </a:r>
          <a:endParaRPr lang="ru-RU" sz="1100" kern="1200">
            <a:latin typeface="Sylfaen" pitchFamily="18" charset="0"/>
          </a:endParaRPr>
        </a:p>
      </dsp:txBody>
      <dsp:txXfrm>
        <a:off x="251340" y="2732283"/>
        <a:ext cx="1272684" cy="1768714"/>
      </dsp:txXfrm>
    </dsp:sp>
    <dsp:sp modelId="{D5CE0177-C3DE-4B01-A5F3-2471D3040860}">
      <dsp:nvSpPr>
        <dsp:cNvPr id="0" name=""/>
        <dsp:cNvSpPr/>
      </dsp:nvSpPr>
      <dsp:spPr>
        <a:xfrm>
          <a:off x="126456" y="497909"/>
          <a:ext cx="101375" cy="5137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7726"/>
              </a:lnTo>
              <a:lnTo>
                <a:pt x="101375" y="5137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CC5EC-3466-4E82-A77E-97F71246D137}">
      <dsp:nvSpPr>
        <dsp:cNvPr id="0" name=""/>
        <dsp:cNvSpPr/>
      </dsp:nvSpPr>
      <dsp:spPr>
        <a:xfrm>
          <a:off x="227831" y="4699951"/>
          <a:ext cx="1332686" cy="18713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ვ</a:t>
          </a:r>
          <a:r>
            <a:rPr lang="ka-GE" sz="1100" kern="1200">
              <a:latin typeface="Sylfaen" pitchFamily="18" charset="0"/>
            </a:rPr>
            <a:t>არიანტი </a:t>
          </a:r>
          <a:r>
            <a:rPr lang="en-US" sz="1100" kern="1200">
              <a:latin typeface="Sylfaen" pitchFamily="18" charset="0"/>
            </a:rPr>
            <a:t>II</a:t>
          </a:r>
          <a:r>
            <a:rPr lang="ka-GE" sz="1100" kern="1200">
              <a:latin typeface="Sylfae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 ქონება აფასებული ღირებულებით აფასების წელს შეტანილ იქნა სხვა საწარმოს კაპიტალში 50%-ზე ნაკლები წილის სანაცვლოდ</a:t>
          </a:r>
          <a:endParaRPr lang="en-US" sz="1100" kern="1200">
            <a:latin typeface="Sylfaen" pitchFamily="18" charset="0"/>
          </a:endParaRPr>
        </a:p>
      </dsp:txBody>
      <dsp:txXfrm>
        <a:off x="266864" y="4738984"/>
        <a:ext cx="1254620" cy="1793301"/>
      </dsp:txXfrm>
    </dsp:sp>
    <dsp:sp modelId="{64F72B54-E90C-4F9F-9CF9-040AADB539A0}">
      <dsp:nvSpPr>
        <dsp:cNvPr id="0" name=""/>
        <dsp:cNvSpPr/>
      </dsp:nvSpPr>
      <dsp:spPr>
        <a:xfrm>
          <a:off x="126456" y="497909"/>
          <a:ext cx="138824" cy="6873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3559"/>
              </a:lnTo>
              <a:lnTo>
                <a:pt x="138824" y="6873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0F9A2-A14B-4552-9A43-35433B926402}">
      <dsp:nvSpPr>
        <dsp:cNvPr id="0" name=""/>
        <dsp:cNvSpPr/>
      </dsp:nvSpPr>
      <dsp:spPr>
        <a:xfrm>
          <a:off x="265280" y="6717996"/>
          <a:ext cx="1316145" cy="1306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პირმა გასხვისებული შენობის საბაზრო ღირებულება არ შეიტანა ერთობლივ შემოსავალში</a:t>
          </a:r>
          <a:endParaRPr lang="en-US" sz="1100" kern="1200">
            <a:latin typeface="Sylfaen" pitchFamily="18" charset="0"/>
          </a:endParaRPr>
        </a:p>
      </dsp:txBody>
      <dsp:txXfrm>
        <a:off x="303559" y="6756275"/>
        <a:ext cx="1239587" cy="1230385"/>
      </dsp:txXfrm>
    </dsp:sp>
    <dsp:sp modelId="{CCF1B5AD-441C-4182-AB14-F5EBF8654620}">
      <dsp:nvSpPr>
        <dsp:cNvPr id="0" name=""/>
        <dsp:cNvSpPr/>
      </dsp:nvSpPr>
      <dsp:spPr>
        <a:xfrm>
          <a:off x="1543066" y="0"/>
          <a:ext cx="1848882" cy="50921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შეფასება</a:t>
          </a:r>
          <a:endParaRPr lang="en-US" sz="1100" b="1" kern="1200">
            <a:latin typeface="Sylfaen" pitchFamily="18" charset="0"/>
          </a:endParaRPr>
        </a:p>
      </dsp:txBody>
      <dsp:txXfrm>
        <a:off x="1557980" y="14914"/>
        <a:ext cx="1819054" cy="479385"/>
      </dsp:txXfrm>
    </dsp:sp>
    <dsp:sp modelId="{54C24076-7438-4BD7-91B7-A67D7E7E1A68}">
      <dsp:nvSpPr>
        <dsp:cNvPr id="0" name=""/>
        <dsp:cNvSpPr/>
      </dsp:nvSpPr>
      <dsp:spPr>
        <a:xfrm>
          <a:off x="1727955" y="509213"/>
          <a:ext cx="151788" cy="869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124"/>
              </a:lnTo>
              <a:lnTo>
                <a:pt x="151788" y="869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3B4EA-7133-4562-8ABE-4EFB0D01ADB2}">
      <dsp:nvSpPr>
        <dsp:cNvPr id="0" name=""/>
        <dsp:cNvSpPr/>
      </dsp:nvSpPr>
      <dsp:spPr>
        <a:xfrm>
          <a:off x="1879743" y="661479"/>
          <a:ext cx="2032806" cy="14337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ბ</a:t>
          </a:r>
          <a:r>
            <a:rPr lang="ka-GE" sz="1100" kern="1200">
              <a:latin typeface="Sylfaen" pitchFamily="18" charset="0"/>
            </a:rPr>
            <a:t>ასს 16-ის მიხედვით, საწარმო ვალდებულია რეალურად განსაზღვროს აქტივების ღირებულება და აფასების შედეგად მიღებული ფასთასხვაობა დასვას სარეზერვო კაპიტალში</a:t>
          </a:r>
          <a:endParaRPr lang="en-US" sz="1100" kern="1200">
            <a:latin typeface="Sylfaen" pitchFamily="18" charset="0"/>
          </a:endParaRPr>
        </a:p>
      </dsp:txBody>
      <dsp:txXfrm>
        <a:off x="1921735" y="703471"/>
        <a:ext cx="1948822" cy="1349733"/>
      </dsp:txXfrm>
    </dsp:sp>
    <dsp:sp modelId="{9A498F05-1646-4F38-9E07-6B44C37F7AD7}">
      <dsp:nvSpPr>
        <dsp:cNvPr id="0" name=""/>
        <dsp:cNvSpPr/>
      </dsp:nvSpPr>
      <dsp:spPr>
        <a:xfrm>
          <a:off x="1727955" y="509213"/>
          <a:ext cx="160504" cy="2196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6576"/>
              </a:lnTo>
              <a:lnTo>
                <a:pt x="160504" y="21965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17CA4-18A8-4A75-B8DB-2E346510A037}">
      <dsp:nvSpPr>
        <dsp:cNvPr id="0" name=""/>
        <dsp:cNvSpPr/>
      </dsp:nvSpPr>
      <dsp:spPr>
        <a:xfrm>
          <a:off x="1888459" y="2211981"/>
          <a:ext cx="2082329" cy="987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დაბეგვრის მიზნებისათვის, ქონების აფასებით მიღებული სხვაობა არ წარმოადგენს მოგების გადასახადით დაბეგვრის ობიექტს</a:t>
          </a:r>
          <a:endParaRPr lang="en-US" sz="1100" kern="1200">
            <a:latin typeface="Sylfaen" pitchFamily="18" charset="0"/>
          </a:endParaRPr>
        </a:p>
      </dsp:txBody>
      <dsp:txXfrm>
        <a:off x="1917385" y="2240907"/>
        <a:ext cx="2024477" cy="929766"/>
      </dsp:txXfrm>
    </dsp:sp>
    <dsp:sp modelId="{7A76A7DB-EAFC-4080-8AE5-FD3550D233F7}">
      <dsp:nvSpPr>
        <dsp:cNvPr id="0" name=""/>
        <dsp:cNvSpPr/>
      </dsp:nvSpPr>
      <dsp:spPr>
        <a:xfrm>
          <a:off x="1727955" y="509213"/>
          <a:ext cx="97689" cy="4464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4397"/>
              </a:lnTo>
              <a:lnTo>
                <a:pt x="97689" y="4464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9373E-BFFB-4657-8DC9-EAB47A505C3C}">
      <dsp:nvSpPr>
        <dsp:cNvPr id="0" name=""/>
        <dsp:cNvSpPr/>
      </dsp:nvSpPr>
      <dsp:spPr>
        <a:xfrm>
          <a:off x="1825644" y="3338992"/>
          <a:ext cx="2280446" cy="32692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პირველ ვარიანტში: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1. შენობის (მთლიანი ჯგუფის) სხვა საწარმოს კაპიტალში გადაცემა არ ითვლება რეალიზაციად.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2. გადაცემული აქტივის ნარჩენი ღირებულება აფასების გაუთვალისწინებლად ექვემდებარება ხარჯებიდან ამოღებას (ჯგუფის ღირებულებითი ბალანსი განულდება გამოქვითვის გარეშე).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3. დაბეგვრის მიზნებისათვის, მიმღები მხარისათვის აქტივის ღირებულება იგივეა, რაც გადამცემი მხარისათვის იყო აფასების გაუთვალისწინებლად</a:t>
          </a:r>
          <a:endParaRPr lang="en-US" sz="1100" kern="1200">
            <a:latin typeface="Sylfaen" pitchFamily="18" charset="0"/>
          </a:endParaRPr>
        </a:p>
      </dsp:txBody>
      <dsp:txXfrm>
        <a:off x="1892436" y="3405784"/>
        <a:ext cx="2146862" cy="3135653"/>
      </dsp:txXfrm>
    </dsp:sp>
    <dsp:sp modelId="{561CECD2-17A4-4FD8-ACB1-922E805C648D}">
      <dsp:nvSpPr>
        <dsp:cNvPr id="0" name=""/>
        <dsp:cNvSpPr/>
      </dsp:nvSpPr>
      <dsp:spPr>
        <a:xfrm>
          <a:off x="1727955" y="509213"/>
          <a:ext cx="144928" cy="7360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0311"/>
              </a:lnTo>
              <a:lnTo>
                <a:pt x="144928" y="73603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D9E40-E577-482E-A5C8-1906E68392B4}">
      <dsp:nvSpPr>
        <dsp:cNvPr id="0" name=""/>
        <dsp:cNvSpPr/>
      </dsp:nvSpPr>
      <dsp:spPr>
        <a:xfrm>
          <a:off x="1872883" y="6659152"/>
          <a:ext cx="2247847" cy="2420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მე-2 ვარიანტში: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1. შენობის (მთლიანი ჯგუფის) სხვა საწარმოს კაპიტალში გადაცემა ჩაითვლება საბაზრო ფასით რეალიზაციად.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2. ჯგუფის ღირებულებითი ბალანსი ნულდება და ნამეტი თანხა შეიტანება ერთობლივ შემოსავალში.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3. დაბეგვრის მიზნებისათვის, აქტივის მიმღები მხარისათვის ღირებულება გამოითვლება საბაზრო ფასიდან</a:t>
          </a:r>
          <a:endParaRPr lang="en-US" sz="1100" kern="1200">
            <a:latin typeface="Sylfaen" pitchFamily="18" charset="0"/>
          </a:endParaRPr>
        </a:p>
      </dsp:txBody>
      <dsp:txXfrm>
        <a:off x="1938720" y="6724989"/>
        <a:ext cx="2116173" cy="2289070"/>
      </dsp:txXfrm>
    </dsp:sp>
    <dsp:sp modelId="{A52CC481-1E94-45D5-998C-116D7F06F43C}">
      <dsp:nvSpPr>
        <dsp:cNvPr id="0" name=""/>
        <dsp:cNvSpPr/>
      </dsp:nvSpPr>
      <dsp:spPr>
        <a:xfrm>
          <a:off x="4149306" y="0"/>
          <a:ext cx="1244170" cy="47361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ღონისძიებები</a:t>
          </a:r>
          <a:endParaRPr lang="en-US" sz="1100" b="1" kern="1200">
            <a:latin typeface="Sylfaen" pitchFamily="18" charset="0"/>
          </a:endParaRPr>
        </a:p>
      </dsp:txBody>
      <dsp:txXfrm>
        <a:off x="4163178" y="13872"/>
        <a:ext cx="1216426" cy="445866"/>
      </dsp:txXfrm>
    </dsp:sp>
    <dsp:sp modelId="{D728B3FA-46F6-40EB-AAB9-96779CA72AA9}">
      <dsp:nvSpPr>
        <dsp:cNvPr id="0" name=""/>
        <dsp:cNvSpPr/>
      </dsp:nvSpPr>
      <dsp:spPr>
        <a:xfrm>
          <a:off x="4273723" y="473610"/>
          <a:ext cx="116838" cy="772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039"/>
              </a:lnTo>
              <a:lnTo>
                <a:pt x="116838" y="7720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2C7A3-169B-43FB-B52A-20BCA442D69E}">
      <dsp:nvSpPr>
        <dsp:cNvPr id="0" name=""/>
        <dsp:cNvSpPr/>
      </dsp:nvSpPr>
      <dsp:spPr>
        <a:xfrm>
          <a:off x="4390561" y="628515"/>
          <a:ext cx="1451083" cy="12342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მე-2 ვარიანტში, შენობის საბაზრო ღირებულებით გაიზრდება საწარმოს ერთობლივი შემოსავალი</a:t>
          </a:r>
          <a:endParaRPr lang="en-US" sz="1100" b="0" kern="1200">
            <a:latin typeface="Sylfaen" pitchFamily="18" charset="0"/>
          </a:endParaRPr>
        </a:p>
      </dsp:txBody>
      <dsp:txXfrm>
        <a:off x="4426712" y="664666"/>
        <a:ext cx="1378781" cy="1161967"/>
      </dsp:txXfrm>
    </dsp:sp>
    <dsp:sp modelId="{21F87599-D2DD-46C2-A1DE-A3C7E1F6796F}">
      <dsp:nvSpPr>
        <dsp:cNvPr id="0" name=""/>
        <dsp:cNvSpPr/>
      </dsp:nvSpPr>
      <dsp:spPr>
        <a:xfrm>
          <a:off x="4273723" y="473610"/>
          <a:ext cx="149155" cy="2137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7903"/>
              </a:lnTo>
              <a:lnTo>
                <a:pt x="149155" y="21379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6BC4E-0F9A-4AB9-90F5-29F3991E9635}">
      <dsp:nvSpPr>
        <dsp:cNvPr id="0" name=""/>
        <dsp:cNvSpPr/>
      </dsp:nvSpPr>
      <dsp:spPr>
        <a:xfrm>
          <a:off x="4422878" y="2132705"/>
          <a:ext cx="1382736" cy="957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ორივე ვარიანტში, დაზუსტდება შესაბამისი პერიოდის გამოქვითვები</a:t>
          </a:r>
          <a:endParaRPr lang="en-US" sz="1100" b="0" kern="1200">
            <a:latin typeface="Sylfaen" pitchFamily="18" charset="0"/>
          </a:endParaRPr>
        </a:p>
      </dsp:txBody>
      <dsp:txXfrm>
        <a:off x="4450926" y="2160753"/>
        <a:ext cx="1326640" cy="901520"/>
      </dsp:txXfrm>
    </dsp:sp>
    <dsp:sp modelId="{926D6BE4-EA15-4207-8886-342FB11053CC}">
      <dsp:nvSpPr>
        <dsp:cNvPr id="0" name=""/>
        <dsp:cNvSpPr/>
      </dsp:nvSpPr>
      <dsp:spPr>
        <a:xfrm>
          <a:off x="4273723" y="473610"/>
          <a:ext cx="161383" cy="3379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9449"/>
              </a:lnTo>
              <a:lnTo>
                <a:pt x="161383" y="3379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6F2DE-2349-46F4-8860-840FF21C42AD}">
      <dsp:nvSpPr>
        <dsp:cNvPr id="0" name=""/>
        <dsp:cNvSpPr/>
      </dsp:nvSpPr>
      <dsp:spPr>
        <a:xfrm>
          <a:off x="4435107" y="3304213"/>
          <a:ext cx="1437899" cy="10976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პირი დაჯარიმდება დეკლარაციაში გადასახადის შემცირების შემთხვევაში           (სსკ 132-ე მუხლით) </a:t>
          </a:r>
          <a:endParaRPr lang="en-US" sz="1100" b="0" kern="1200">
            <a:latin typeface="Sylfaen" pitchFamily="18" charset="0"/>
          </a:endParaRPr>
        </a:p>
      </dsp:txBody>
      <dsp:txXfrm>
        <a:off x="4467257" y="3336363"/>
        <a:ext cx="1373599" cy="1033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9E84-B0C8-478B-ABA4-A09B3FD1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Pkhovelishvili</cp:lastModifiedBy>
  <cp:revision>10</cp:revision>
  <dcterms:created xsi:type="dcterms:W3CDTF">2013-09-20T10:48:00Z</dcterms:created>
  <dcterms:modified xsi:type="dcterms:W3CDTF">2013-09-20T14:22:00Z</dcterms:modified>
</cp:coreProperties>
</file>