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6257925"/>
            <wp:effectExtent l="0" t="0" r="1905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41" w:rsidRDefault="00E75041" w:rsidP="00F92800">
      <w:pPr>
        <w:spacing w:after="0" w:line="240" w:lineRule="auto"/>
      </w:pPr>
      <w:r>
        <w:separator/>
      </w:r>
    </w:p>
  </w:endnote>
  <w:endnote w:type="continuationSeparator" w:id="0">
    <w:p w:rsidR="00E75041" w:rsidRDefault="00E75041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41" w:rsidRDefault="00E75041" w:rsidP="00F92800">
      <w:pPr>
        <w:spacing w:after="0" w:line="240" w:lineRule="auto"/>
      </w:pPr>
      <w:r>
        <w:separator/>
      </w:r>
    </w:p>
  </w:footnote>
  <w:footnote w:type="continuationSeparator" w:id="0">
    <w:p w:rsidR="00E75041" w:rsidRDefault="00E75041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84224D" w:rsidRDefault="0084224D" w:rsidP="005A1133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ქონების გადასახადი 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C61FC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51B3D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1133"/>
    <w:rsid w:val="005A3014"/>
    <w:rsid w:val="005A7A9C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B548B"/>
    <w:rsid w:val="006B6971"/>
    <w:rsid w:val="006C61E9"/>
    <w:rsid w:val="006C7C44"/>
    <w:rsid w:val="006E248D"/>
    <w:rsid w:val="006F560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224D"/>
    <w:rsid w:val="00845BBA"/>
    <w:rsid w:val="00854DDA"/>
    <w:rsid w:val="00860067"/>
    <w:rsid w:val="008666D3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433F1"/>
    <w:rsid w:val="00B51EEF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D0871"/>
    <w:rsid w:val="00DE0F11"/>
    <w:rsid w:val="00E22B2B"/>
    <w:rsid w:val="00E31106"/>
    <w:rsid w:val="00E32258"/>
    <w:rsid w:val="00E339CA"/>
    <w:rsid w:val="00E45054"/>
    <w:rsid w:val="00E55ED1"/>
    <w:rsid w:val="00E62775"/>
    <w:rsid w:val="00E75041"/>
    <w:rsid w:val="00E911D3"/>
    <w:rsid w:val="00E9351D"/>
    <w:rsid w:val="00E97C21"/>
    <w:rsid w:val="00EA1FA3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76596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ქონების გადასახადი უნდა გადახდილიყო ქონების საბაზრო ღირებულებიდან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პირს სხვაობაზე დაერიცხება ქონების გადასახადი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პირი დეკლარაციაში თანხის შემცირებისათვის დაჯარიმდება (სსკ-ის 132-ე მუხლი)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ქონების გადასახადი გადახდილია კოეფიციენტებით გადაფასებული ღირებულებიდან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 b="0" baseline="0">
              <a:latin typeface="Sylfaen" pitchFamily="18" charset="0"/>
            </a:rPr>
            <a:t>კოეფიციენტების გამოყენების მიუხედავად ქონება უნდა აფასებულიყო საბაზრო ღირებულებამდე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 b="0" baseline="0">
              <a:latin typeface="Sylfaen" pitchFamily="18" charset="0"/>
            </a:rPr>
            <a:t>კოეფიციენტებით გადაფასებული ქონების ღირებულება ნაკლებია საბაზრო ღირებულებაზე</a:t>
          </a:r>
          <a:endParaRPr lang="en-US" sz="1100">
            <a:latin typeface="Sylfaen" pitchFamily="18" charset="0"/>
          </a:endParaRPr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ქონების</a:t>
          </a:r>
          <a:r>
            <a:rPr lang="ka-GE" sz="1100" b="0" baseline="0">
              <a:latin typeface="Sylfaen" pitchFamily="18" charset="0"/>
            </a:rPr>
            <a:t> ღირებულების განსაზღვრისას გამოყენებულია გადაფასების კოეფიციენტები</a:t>
          </a:r>
          <a:endParaRPr lang="en-US" sz="1100" b="0">
            <a:latin typeface="Sylfaen" pitchFamily="18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66610D8D-3443-4175-B016-CE1B0ECEDEDB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შენიშვნა: პირს სხვაობაზე დარიცხული გადასახადის აღიარებამდე სანქცია არ დაეკისრება</a:t>
          </a:r>
          <a:endParaRPr lang="en-US" sz="1100">
            <a:latin typeface="Sylfaen" pitchFamily="18" charset="0"/>
          </a:endParaRPr>
        </a:p>
      </dgm:t>
    </dgm:pt>
    <dgm:pt modelId="{F4199D76-6603-413B-A75A-A769CA6C9936}" type="parTrans" cxnId="{63A3F3B4-2F34-41CC-85A0-2E87C683C37F}">
      <dgm:prSet/>
      <dgm:spPr/>
      <dgm:t>
        <a:bodyPr/>
        <a:lstStyle/>
        <a:p>
          <a:endParaRPr lang="en-US"/>
        </a:p>
      </dgm:t>
    </dgm:pt>
    <dgm:pt modelId="{B4B0A67B-80DD-42CF-9C5D-BBEFD0B6286C}" type="sibTrans" cxnId="{63A3F3B4-2F34-41CC-85A0-2E87C683C37F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Y="-76291" custLinFactNeighborX="8913" custLinFactNeighborY="-100000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8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8" custScaleX="181509" custScaleY="195231" custLinFactY="-69235" custLinFactNeighborX="907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8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8" custScaleX="183763" custScaleY="170429" custLinFactY="-32938" custLinFactNeighborX="7567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8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8" custScaleX="171594" custScaleY="172432" custLinFactNeighborX="14821" custLinFactNeighborY="-984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Y="-71324" custLinFactNeighborX="4510" custLinFactNeighborY="-100000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3" presStyleCnt="8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3" presStyleCnt="8" custScaleX="226643" custScaleY="135373" custLinFactNeighborX="-853" custLinFactNeighborY="472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4" presStyleCnt="8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4" presStyleCnt="8" custScaleX="223206" custScaleY="165272" custLinFactY="-122700" custLinFactNeighborX="-141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Y="-66197" custLinFactNeighborX="-3217" custLinFactNeighborY="-100000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5" presStyleCnt="8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8" custScaleX="170861" custScaleY="131859" custLinFactY="-54388" custLinFactNeighborX="174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6" presStyleCnt="8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6" presStyleCnt="8" custScaleX="181145" custScaleY="164001" custLinFactY="-51181" custLinFactNeighborX="7419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77A501-18C6-4E1E-980E-85935AAB1579}" type="pres">
      <dgm:prSet presAssocID="{F4199D76-6603-413B-A75A-A769CA6C9936}" presName="Name13" presStyleLbl="parChTrans1D2" presStyleIdx="7" presStyleCnt="8"/>
      <dgm:spPr/>
      <dgm:t>
        <a:bodyPr/>
        <a:lstStyle/>
        <a:p>
          <a:endParaRPr lang="en-US"/>
        </a:p>
      </dgm:t>
    </dgm:pt>
    <dgm:pt modelId="{2B50E72C-D5C8-484D-B143-B06721B66917}" type="pres">
      <dgm:prSet presAssocID="{66610D8D-3443-4175-B016-CE1B0ECEDEDB}" presName="childText" presStyleLbl="bgAcc1" presStyleIdx="7" presStyleCnt="8" custScaleX="164882" custScaleY="228944" custLinFactY="-40180" custLinFactNeighborX="10184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FA522BB-5B0F-4062-8788-809024838BDA}" type="presOf" srcId="{6EDDC9A4-7743-45A1-A47F-DDC8AA334378}" destId="{1A83EF98-3231-40EA-B1D6-7E43DBA651A6}" srcOrd="0" destOrd="0" presId="urn:microsoft.com/office/officeart/2005/8/layout/hierarchy3"/>
    <dgm:cxn modelId="{63A3F3B4-2F34-41CC-85A0-2E87C683C37F}" srcId="{E40EDAB5-D188-4812-A61A-95A9AC19C0AE}" destId="{66610D8D-3443-4175-B016-CE1B0ECEDEDB}" srcOrd="2" destOrd="0" parTransId="{F4199D76-6603-413B-A75A-A769CA6C9936}" sibTransId="{B4B0A67B-80DD-42CF-9C5D-BBEFD0B6286C}"/>
    <dgm:cxn modelId="{67AEE06A-F09C-4FF9-9594-11FCB51D1F4B}" type="presOf" srcId="{C902E2DB-BEC8-4856-BA4D-E8C3C7168B79}" destId="{F1317D2F-48EA-4414-B8C3-0F0DF1020FA4}" srcOrd="0" destOrd="0" presId="urn:microsoft.com/office/officeart/2005/8/layout/hierarchy3"/>
    <dgm:cxn modelId="{2C4581CB-14F7-4418-B3B7-F0E16F18A684}" type="presOf" srcId="{66610D8D-3443-4175-B016-CE1B0ECEDEDB}" destId="{2B50E72C-D5C8-484D-B143-B06721B66917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F1912DC2-1156-4058-B14D-B7D2E2BF76DF}" type="presOf" srcId="{6EDDC9A4-7743-45A1-A47F-DDC8AA334378}" destId="{8E010497-E5A8-4319-AFB0-5D34092ECD88}" srcOrd="1" destOrd="0" presId="urn:microsoft.com/office/officeart/2005/8/layout/hierarchy3"/>
    <dgm:cxn modelId="{93169B71-FD21-475C-BA07-5B9FCA7597A8}" type="presOf" srcId="{B4D11B42-E642-4237-B8F9-795C9B3B1616}" destId="{5833CB5C-BF6D-4796-A3D1-E840B57D7143}" srcOrd="0" destOrd="0" presId="urn:microsoft.com/office/officeart/2005/8/layout/hierarchy3"/>
    <dgm:cxn modelId="{2624EDC4-0201-438F-AE83-65EF4F94FADC}" type="presOf" srcId="{02B9985B-7F57-43D5-A167-ED9248916466}" destId="{E401CA66-E0CC-4580-B865-916053515C0A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C21294E1-1C07-47E0-8CB8-836A7B9CD9CC}" type="presOf" srcId="{0864151C-55A8-4402-A51E-35DDE1DCFDCF}" destId="{F5A8D68E-1317-4112-8179-3D951CA9F398}" srcOrd="1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0AFF3243-76DE-4B44-8D02-14041F84A65D}" type="presOf" srcId="{04CF069F-3651-45EC-8CB2-537F82ED770E}" destId="{6A4A5C1A-F165-419D-AF4E-5B55115246BA}" srcOrd="0" destOrd="0" presId="urn:microsoft.com/office/officeart/2005/8/layout/hierarchy3"/>
    <dgm:cxn modelId="{71BBA50F-DBA8-4FE5-8D38-13984DD7409C}" type="presOf" srcId="{2A593D08-6C4F-4893-8DEF-0F179E451227}" destId="{06166254-EAD0-4311-851E-F063E7192781}" srcOrd="0" destOrd="0" presId="urn:microsoft.com/office/officeart/2005/8/layout/hierarchy3"/>
    <dgm:cxn modelId="{D8F435E6-EB24-493B-9262-E7F0122772DE}" type="presOf" srcId="{29A998F4-CA6D-4B77-B703-EBB58EDD4D4D}" destId="{9272F942-0445-4013-9BB5-584A45F92046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1B9DCCD4-337E-4151-8FF2-077F01992BD2}" srcId="{0864151C-55A8-4402-A51E-35DDE1DCFDCF}" destId="{B26019DA-1E1A-421A-B2B3-3DDBF1BB3490}" srcOrd="1" destOrd="0" parTransId="{B17FBC5D-5165-4FCF-ABDF-53E40FDCAC9F}" sibTransId="{9C92D5F8-21E8-4316-AC54-8353CE0EA671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3CBBB1EA-9B37-4AA8-887D-C132DB63B8DD}" type="presOf" srcId="{AF2C8C0F-097D-4DC9-9C67-E8D19F634135}" destId="{B388476D-662D-499E-86FF-075E40B9B116}" srcOrd="0" destOrd="0" presId="urn:microsoft.com/office/officeart/2005/8/layout/hierarchy3"/>
    <dgm:cxn modelId="{7518116F-065D-4D23-BE8A-F7482BF55108}" type="presOf" srcId="{0864151C-55A8-4402-A51E-35DDE1DCFDCF}" destId="{CCF1B5AD-441C-4182-AB14-F5EBF8654620}" srcOrd="0" destOrd="0" presId="urn:microsoft.com/office/officeart/2005/8/layout/hierarchy3"/>
    <dgm:cxn modelId="{0B27768D-785F-4193-9E6D-41964BB1AA8D}" type="presOf" srcId="{33991C9A-45FF-4E3A-85EA-5775C1E59D36}" destId="{811180F8-985E-43C1-93D2-0134FBDCA749}" srcOrd="0" destOrd="0" presId="urn:microsoft.com/office/officeart/2005/8/layout/hierarchy3"/>
    <dgm:cxn modelId="{0E48263D-6A3A-4091-B5A2-EC0E8C4BD85E}" type="presOf" srcId="{B17FBC5D-5165-4FCF-ABDF-53E40FDCAC9F}" destId="{B083B685-1F8C-40F1-89D3-742392FF15BA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2C75E9CE-99D9-4C10-9BB5-738E0F614A40}" type="presOf" srcId="{F528A14A-AF5E-44E4-A87B-FFE84FA0635C}" destId="{584661F5-5507-495B-A407-8A7C5FB47BFB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3D0D168C-6366-4F9C-9B08-AEE7CA9D1C55}" type="presOf" srcId="{E40EDAB5-D188-4812-A61A-95A9AC19C0AE}" destId="{A52CC481-1E94-45D5-998C-116D7F06F43C}" srcOrd="0" destOrd="0" presId="urn:microsoft.com/office/officeart/2005/8/layout/hierarchy3"/>
    <dgm:cxn modelId="{2A115D54-072A-4FC2-8B58-6669AB371356}" type="presOf" srcId="{E40EDAB5-D188-4812-A61A-95A9AC19C0AE}" destId="{FA81A31F-68B4-47C4-B547-823393526F80}" srcOrd="1" destOrd="0" presId="urn:microsoft.com/office/officeart/2005/8/layout/hierarchy3"/>
    <dgm:cxn modelId="{078691D7-03D4-456C-B3A5-FE30B8B7EC0F}" type="presOf" srcId="{C05276AB-2B37-4F03-80CB-53681018626A}" destId="{A0FCCB2E-3A45-460E-890E-5C6DC46BDDA2}" srcOrd="0" destOrd="0" presId="urn:microsoft.com/office/officeart/2005/8/layout/hierarchy3"/>
    <dgm:cxn modelId="{1682A0F2-DC50-488D-AD7D-87062A2A8004}" type="presOf" srcId="{63BFCA6C-BEC4-435A-8E72-0F4C0248610F}" destId="{EE9D00C4-D2C7-4FC5-8294-1E69973FB5F8}" srcOrd="0" destOrd="0" presId="urn:microsoft.com/office/officeart/2005/8/layout/hierarchy3"/>
    <dgm:cxn modelId="{45CD82EA-7A92-467B-894B-C9277A1D9514}" type="presOf" srcId="{EC4D90D5-A3B7-4A12-88DA-77AA7E9A9696}" destId="{502E3CA8-4633-4F6E-956E-8D77AF0B9A67}" srcOrd="0" destOrd="0" presId="urn:microsoft.com/office/officeart/2005/8/layout/hierarchy3"/>
    <dgm:cxn modelId="{D87BBBF3-FD59-483E-AF71-C422CD9525D3}" type="presOf" srcId="{9EB67732-3D77-4837-997C-BE4062F9BB54}" destId="{6BDC0A78-E0F7-49BA-94F7-90F8325464B0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CCFAB108-ACA8-485C-B810-507495565E60}" type="presOf" srcId="{F4199D76-6603-413B-A75A-A769CA6C9936}" destId="{7A77A501-18C6-4E1E-980E-85935AAB1579}" srcOrd="0" destOrd="0" presId="urn:microsoft.com/office/officeart/2005/8/layout/hierarchy3"/>
    <dgm:cxn modelId="{410FEE88-253B-4D07-8C7C-A0D01C7D9706}" type="presOf" srcId="{B26019DA-1E1A-421A-B2B3-3DDBF1BB3490}" destId="{326E14DF-2B2D-4D1D-9EFC-7D3AB8F651AA}" srcOrd="0" destOrd="0" presId="urn:microsoft.com/office/officeart/2005/8/layout/hierarchy3"/>
    <dgm:cxn modelId="{97EEBA7B-C7F3-49A2-8058-553AD5FCD91F}" type="presParOf" srcId="{B388476D-662D-499E-86FF-075E40B9B116}" destId="{4CCE11F2-9671-4C6B-9F76-2C10D78361EF}" srcOrd="0" destOrd="0" presId="urn:microsoft.com/office/officeart/2005/8/layout/hierarchy3"/>
    <dgm:cxn modelId="{23233978-F89D-4C22-BEEE-E2325C0078BB}" type="presParOf" srcId="{4CCE11F2-9671-4C6B-9F76-2C10D78361EF}" destId="{C557614C-F630-4D5F-BE22-AB9FC945D279}" srcOrd="0" destOrd="0" presId="urn:microsoft.com/office/officeart/2005/8/layout/hierarchy3"/>
    <dgm:cxn modelId="{46289B5A-C35D-4B5B-A245-74C7D6D1B354}" type="presParOf" srcId="{C557614C-F630-4D5F-BE22-AB9FC945D279}" destId="{1A83EF98-3231-40EA-B1D6-7E43DBA651A6}" srcOrd="0" destOrd="0" presId="urn:microsoft.com/office/officeart/2005/8/layout/hierarchy3"/>
    <dgm:cxn modelId="{1E75F8B0-8FAC-4FEA-91C1-1EF800DC9CF4}" type="presParOf" srcId="{C557614C-F630-4D5F-BE22-AB9FC945D279}" destId="{8E010497-E5A8-4319-AFB0-5D34092ECD88}" srcOrd="1" destOrd="0" presId="urn:microsoft.com/office/officeart/2005/8/layout/hierarchy3"/>
    <dgm:cxn modelId="{449FB453-9847-427F-AF69-AA27E0A46501}" type="presParOf" srcId="{4CCE11F2-9671-4C6B-9F76-2C10D78361EF}" destId="{2F8125D7-8EE8-4988-87E0-9DDFA76BED4A}" srcOrd="1" destOrd="0" presId="urn:microsoft.com/office/officeart/2005/8/layout/hierarchy3"/>
    <dgm:cxn modelId="{23CB0541-EBF8-4A7D-923E-C04F6F2AE69D}" type="presParOf" srcId="{2F8125D7-8EE8-4988-87E0-9DDFA76BED4A}" destId="{E401CA66-E0CC-4580-B865-916053515C0A}" srcOrd="0" destOrd="0" presId="urn:microsoft.com/office/officeart/2005/8/layout/hierarchy3"/>
    <dgm:cxn modelId="{865E81C0-99B6-4BE8-AB48-61C668F0410A}" type="presParOf" srcId="{2F8125D7-8EE8-4988-87E0-9DDFA76BED4A}" destId="{502E3CA8-4633-4F6E-956E-8D77AF0B9A67}" srcOrd="1" destOrd="0" presId="urn:microsoft.com/office/officeart/2005/8/layout/hierarchy3"/>
    <dgm:cxn modelId="{A5A68878-369D-4803-B523-12C0BBA271D4}" type="presParOf" srcId="{2F8125D7-8EE8-4988-87E0-9DDFA76BED4A}" destId="{F1317D2F-48EA-4414-B8C3-0F0DF1020FA4}" srcOrd="2" destOrd="0" presId="urn:microsoft.com/office/officeart/2005/8/layout/hierarchy3"/>
    <dgm:cxn modelId="{447B646D-09B6-434F-B6B6-A8297981F4BC}" type="presParOf" srcId="{2F8125D7-8EE8-4988-87E0-9DDFA76BED4A}" destId="{06166254-EAD0-4311-851E-F063E7192781}" srcOrd="3" destOrd="0" presId="urn:microsoft.com/office/officeart/2005/8/layout/hierarchy3"/>
    <dgm:cxn modelId="{5A3F3933-5884-4057-9FF6-867BDF5E67D3}" type="presParOf" srcId="{2F8125D7-8EE8-4988-87E0-9DDFA76BED4A}" destId="{6BDC0A78-E0F7-49BA-94F7-90F8325464B0}" srcOrd="4" destOrd="0" presId="urn:microsoft.com/office/officeart/2005/8/layout/hierarchy3"/>
    <dgm:cxn modelId="{F737E80C-1DAC-437C-A4EB-BCFDC7A5B9E0}" type="presParOf" srcId="{2F8125D7-8EE8-4988-87E0-9DDFA76BED4A}" destId="{A0FCCB2E-3A45-460E-890E-5C6DC46BDDA2}" srcOrd="5" destOrd="0" presId="urn:microsoft.com/office/officeart/2005/8/layout/hierarchy3"/>
    <dgm:cxn modelId="{560CF783-E9A1-4CFF-BA93-E5CF2F360EB4}" type="presParOf" srcId="{B388476D-662D-499E-86FF-075E40B9B116}" destId="{2FB5DE3C-867A-44B8-89CD-BAF599600FD9}" srcOrd="1" destOrd="0" presId="urn:microsoft.com/office/officeart/2005/8/layout/hierarchy3"/>
    <dgm:cxn modelId="{89E7E564-4D54-4D0C-91AF-9BC735327FEA}" type="presParOf" srcId="{2FB5DE3C-867A-44B8-89CD-BAF599600FD9}" destId="{9DE9E381-FFCB-4D13-B9AA-C091B657A585}" srcOrd="0" destOrd="0" presId="urn:microsoft.com/office/officeart/2005/8/layout/hierarchy3"/>
    <dgm:cxn modelId="{80E3428E-0E80-492D-8749-EDAC39044905}" type="presParOf" srcId="{9DE9E381-FFCB-4D13-B9AA-C091B657A585}" destId="{CCF1B5AD-441C-4182-AB14-F5EBF8654620}" srcOrd="0" destOrd="0" presId="urn:microsoft.com/office/officeart/2005/8/layout/hierarchy3"/>
    <dgm:cxn modelId="{979F33D5-704B-4B1A-A140-6811CB842281}" type="presParOf" srcId="{9DE9E381-FFCB-4D13-B9AA-C091B657A585}" destId="{F5A8D68E-1317-4112-8179-3D951CA9F398}" srcOrd="1" destOrd="0" presId="urn:microsoft.com/office/officeart/2005/8/layout/hierarchy3"/>
    <dgm:cxn modelId="{6D6ABE26-A3EA-4CC1-BA58-07F974EDD287}" type="presParOf" srcId="{2FB5DE3C-867A-44B8-89CD-BAF599600FD9}" destId="{25491ECF-4A66-42F1-8AA3-00082B855958}" srcOrd="1" destOrd="0" presId="urn:microsoft.com/office/officeart/2005/8/layout/hierarchy3"/>
    <dgm:cxn modelId="{A21C4054-61EF-4AA8-AF4D-221D5E25CDCE}" type="presParOf" srcId="{25491ECF-4A66-42F1-8AA3-00082B855958}" destId="{584661F5-5507-495B-A407-8A7C5FB47BFB}" srcOrd="0" destOrd="0" presId="urn:microsoft.com/office/officeart/2005/8/layout/hierarchy3"/>
    <dgm:cxn modelId="{E2A0730C-DB8F-4867-B6F1-8E8CE4FB6269}" type="presParOf" srcId="{25491ECF-4A66-42F1-8AA3-00082B855958}" destId="{811180F8-985E-43C1-93D2-0134FBDCA749}" srcOrd="1" destOrd="0" presId="urn:microsoft.com/office/officeart/2005/8/layout/hierarchy3"/>
    <dgm:cxn modelId="{8C28E894-25E1-4D80-AD32-C3D0486B1CBE}" type="presParOf" srcId="{25491ECF-4A66-42F1-8AA3-00082B855958}" destId="{B083B685-1F8C-40F1-89D3-742392FF15BA}" srcOrd="2" destOrd="0" presId="urn:microsoft.com/office/officeart/2005/8/layout/hierarchy3"/>
    <dgm:cxn modelId="{6170C251-8642-4A55-833E-64CD130586E7}" type="presParOf" srcId="{25491ECF-4A66-42F1-8AA3-00082B855958}" destId="{326E14DF-2B2D-4D1D-9EFC-7D3AB8F651AA}" srcOrd="3" destOrd="0" presId="urn:microsoft.com/office/officeart/2005/8/layout/hierarchy3"/>
    <dgm:cxn modelId="{D2ECA533-F46C-467E-802F-3D13A89DF375}" type="presParOf" srcId="{B388476D-662D-499E-86FF-075E40B9B116}" destId="{B5F88AEE-451A-4C5A-8D98-001CB6888185}" srcOrd="2" destOrd="0" presId="urn:microsoft.com/office/officeart/2005/8/layout/hierarchy3"/>
    <dgm:cxn modelId="{0F57361E-6DD3-4E05-B4C4-6C13CE6A12D3}" type="presParOf" srcId="{B5F88AEE-451A-4C5A-8D98-001CB6888185}" destId="{CE3720F1-9340-4685-87FD-D50F37CC033B}" srcOrd="0" destOrd="0" presId="urn:microsoft.com/office/officeart/2005/8/layout/hierarchy3"/>
    <dgm:cxn modelId="{87793ABF-2D07-4F29-BE4E-81E9B26E50D9}" type="presParOf" srcId="{CE3720F1-9340-4685-87FD-D50F37CC033B}" destId="{A52CC481-1E94-45D5-998C-116D7F06F43C}" srcOrd="0" destOrd="0" presId="urn:microsoft.com/office/officeart/2005/8/layout/hierarchy3"/>
    <dgm:cxn modelId="{65DBB0C4-4312-4DA5-86C0-56349F0146C5}" type="presParOf" srcId="{CE3720F1-9340-4685-87FD-D50F37CC033B}" destId="{FA81A31F-68B4-47C4-B547-823393526F80}" srcOrd="1" destOrd="0" presId="urn:microsoft.com/office/officeart/2005/8/layout/hierarchy3"/>
    <dgm:cxn modelId="{43CC25CF-85CB-48E1-AB03-1F1538AFE0C1}" type="presParOf" srcId="{B5F88AEE-451A-4C5A-8D98-001CB6888185}" destId="{13D5A3C6-CE80-425E-9D29-FCD90E15EBB7}" srcOrd="1" destOrd="0" presId="urn:microsoft.com/office/officeart/2005/8/layout/hierarchy3"/>
    <dgm:cxn modelId="{E156B648-EE3B-4D3E-A61F-8CDA47864E7D}" type="presParOf" srcId="{13D5A3C6-CE80-425E-9D29-FCD90E15EBB7}" destId="{EE9D00C4-D2C7-4FC5-8294-1E69973FB5F8}" srcOrd="0" destOrd="0" presId="urn:microsoft.com/office/officeart/2005/8/layout/hierarchy3"/>
    <dgm:cxn modelId="{0CB10F10-2CD7-4F4D-B9CA-21498D93CBB1}" type="presParOf" srcId="{13D5A3C6-CE80-425E-9D29-FCD90E15EBB7}" destId="{5833CB5C-BF6D-4796-A3D1-E840B57D7143}" srcOrd="1" destOrd="0" presId="urn:microsoft.com/office/officeart/2005/8/layout/hierarchy3"/>
    <dgm:cxn modelId="{18189F09-55D1-4C46-B6A1-3D605454157E}" type="presParOf" srcId="{13D5A3C6-CE80-425E-9D29-FCD90E15EBB7}" destId="{6A4A5C1A-F165-419D-AF4E-5B55115246BA}" srcOrd="2" destOrd="0" presId="urn:microsoft.com/office/officeart/2005/8/layout/hierarchy3"/>
    <dgm:cxn modelId="{1F3B0D68-5A98-48B7-91B5-69E8987B86EE}" type="presParOf" srcId="{13D5A3C6-CE80-425E-9D29-FCD90E15EBB7}" destId="{9272F942-0445-4013-9BB5-584A45F92046}" srcOrd="3" destOrd="0" presId="urn:microsoft.com/office/officeart/2005/8/layout/hierarchy3"/>
    <dgm:cxn modelId="{1CC0EF7C-A113-4C50-A3AF-31FE488F7145}" type="presParOf" srcId="{13D5A3C6-CE80-425E-9D29-FCD90E15EBB7}" destId="{7A77A501-18C6-4E1E-980E-85935AAB1579}" srcOrd="4" destOrd="0" presId="urn:microsoft.com/office/officeart/2005/8/layout/hierarchy3"/>
    <dgm:cxn modelId="{EDDC3050-3C44-4245-8712-4B4BF3D99E99}" type="presParOf" srcId="{13D5A3C6-CE80-425E-9D29-FCD90E15EBB7}" destId="{2B50E72C-D5C8-484D-B143-B06721B66917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109092" y="19082"/>
          <a:ext cx="2040790" cy="5041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123857" y="33847"/>
        <a:ext cx="2011260" cy="474598"/>
      </dsp:txXfrm>
    </dsp:sp>
    <dsp:sp modelId="{E401CA66-E0CC-4580-B865-916053515C0A}">
      <dsp:nvSpPr>
        <dsp:cNvPr id="0" name=""/>
        <dsp:cNvSpPr/>
      </dsp:nvSpPr>
      <dsp:spPr>
        <a:xfrm>
          <a:off x="313171" y="523210"/>
          <a:ext cx="184473" cy="767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499"/>
              </a:lnTo>
              <a:lnTo>
                <a:pt x="184473" y="7674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497645" y="712943"/>
          <a:ext cx="1718905" cy="11555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ქონების</a:t>
          </a:r>
          <a:r>
            <a:rPr lang="ka-GE" sz="1100" b="0" kern="1200" baseline="0">
              <a:latin typeface="Sylfaen" pitchFamily="18" charset="0"/>
            </a:rPr>
            <a:t> ღირებულების განსაზღვრისას გამოყენებულია გადაფასების კოეფიციენტები</a:t>
          </a:r>
          <a:endParaRPr lang="en-US" sz="1100" b="0" kern="1200">
            <a:latin typeface="Sylfaen" pitchFamily="18" charset="0"/>
          </a:endParaRPr>
        </a:p>
      </dsp:txBody>
      <dsp:txXfrm>
        <a:off x="531489" y="746787"/>
        <a:ext cx="1651217" cy="1087845"/>
      </dsp:txXfrm>
    </dsp:sp>
    <dsp:sp modelId="{F1317D2F-48EA-4414-B8C3-0F0DF1020FA4}">
      <dsp:nvSpPr>
        <dsp:cNvPr id="0" name=""/>
        <dsp:cNvSpPr/>
      </dsp:nvSpPr>
      <dsp:spPr>
        <a:xfrm>
          <a:off x="313171" y="523210"/>
          <a:ext cx="170230" cy="2212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439"/>
              </a:lnTo>
              <a:lnTo>
                <a:pt x="170230" y="22124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483402" y="2231281"/>
          <a:ext cx="1740250" cy="1008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 baseline="0">
              <a:latin typeface="Sylfaen" pitchFamily="18" charset="0"/>
            </a:rPr>
            <a:t>კოეფიციენტებით გადაფასებული ქონების ღირებულება ნაკლებია საბაზრო ღირებულებაზე</a:t>
          </a:r>
          <a:endParaRPr lang="en-US" sz="1100" kern="1200">
            <a:latin typeface="Sylfaen" pitchFamily="18" charset="0"/>
          </a:endParaRPr>
        </a:p>
      </dsp:txBody>
      <dsp:txXfrm>
        <a:off x="512947" y="2260826"/>
        <a:ext cx="1681160" cy="949645"/>
      </dsp:txXfrm>
    </dsp:sp>
    <dsp:sp modelId="{6BDC0A78-E0F7-49BA-94F7-90F8325464B0}">
      <dsp:nvSpPr>
        <dsp:cNvPr id="0" name=""/>
        <dsp:cNvSpPr/>
      </dsp:nvSpPr>
      <dsp:spPr>
        <a:xfrm>
          <a:off x="313171" y="523210"/>
          <a:ext cx="238926" cy="3579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9466"/>
              </a:lnTo>
              <a:lnTo>
                <a:pt x="238926" y="35794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52098" y="3592380"/>
          <a:ext cx="1625009" cy="1020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ქონების გადასახადი გადახდილია კოეფიციენტებით გადაფასებული ღირებულებიდან</a:t>
          </a:r>
          <a:endParaRPr lang="en-US" sz="1100" kern="1200">
            <a:latin typeface="Sylfaen" pitchFamily="18" charset="0"/>
          </a:endParaRPr>
        </a:p>
      </dsp:txBody>
      <dsp:txXfrm>
        <a:off x="581990" y="3622272"/>
        <a:ext cx="1565225" cy="960806"/>
      </dsp:txXfrm>
    </dsp:sp>
    <dsp:sp modelId="{CCF1B5AD-441C-4182-AB14-F5EBF8654620}">
      <dsp:nvSpPr>
        <dsp:cNvPr id="0" name=""/>
        <dsp:cNvSpPr/>
      </dsp:nvSpPr>
      <dsp:spPr>
        <a:xfrm>
          <a:off x="2393702" y="48480"/>
          <a:ext cx="2733314" cy="49324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408149" y="62927"/>
        <a:ext cx="2704420" cy="464349"/>
      </dsp:txXfrm>
    </dsp:sp>
    <dsp:sp modelId="{584661F5-5507-495B-A407-8A7C5FB47BFB}">
      <dsp:nvSpPr>
        <dsp:cNvPr id="0" name=""/>
        <dsp:cNvSpPr/>
      </dsp:nvSpPr>
      <dsp:spPr>
        <a:xfrm>
          <a:off x="2667034" y="541724"/>
          <a:ext cx="211865" cy="1842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2016"/>
              </a:lnTo>
              <a:lnTo>
                <a:pt x="211865" y="1842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78899" y="1983118"/>
          <a:ext cx="2146327" cy="8012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ქონების გადასახადი უნდა გადახდილიყო ქონების საბაზრო ღირებულებიდან</a:t>
          </a:r>
          <a:endParaRPr lang="en-US" sz="1100" kern="1200">
            <a:latin typeface="Sylfaen" pitchFamily="18" charset="0"/>
          </a:endParaRPr>
        </a:p>
      </dsp:txBody>
      <dsp:txXfrm>
        <a:off x="2902367" y="2006586"/>
        <a:ext cx="2099391" cy="754309"/>
      </dsp:txXfrm>
    </dsp:sp>
    <dsp:sp modelId="{B083B685-1F8C-40F1-89D3-742392FF15BA}">
      <dsp:nvSpPr>
        <dsp:cNvPr id="0" name=""/>
        <dsp:cNvSpPr/>
      </dsp:nvSpPr>
      <dsp:spPr>
        <a:xfrm>
          <a:off x="2667034" y="541724"/>
          <a:ext cx="218608" cy="690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327"/>
              </a:lnTo>
              <a:lnTo>
                <a:pt x="218608" y="6903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85642" y="742945"/>
          <a:ext cx="2113779" cy="978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 baseline="0">
              <a:latin typeface="Sylfaen" pitchFamily="18" charset="0"/>
            </a:rPr>
            <a:t>კოეფიციენტების გამოყენების მიუხედავად ქონება უნდა აფასებულიყო საბაზრო ღირებულებამდე</a:t>
          </a:r>
          <a:endParaRPr lang="en-US" sz="1100" kern="1200">
            <a:latin typeface="Sylfaen" pitchFamily="18" charset="0"/>
          </a:endParaRPr>
        </a:p>
      </dsp:txBody>
      <dsp:txXfrm>
        <a:off x="2914293" y="771596"/>
        <a:ext cx="2056477" cy="920910"/>
      </dsp:txXfrm>
    </dsp:sp>
    <dsp:sp modelId="{A52CC481-1E94-45D5-998C-116D7F06F43C}">
      <dsp:nvSpPr>
        <dsp:cNvPr id="0" name=""/>
        <dsp:cNvSpPr/>
      </dsp:nvSpPr>
      <dsp:spPr>
        <a:xfrm>
          <a:off x="5331487" y="78826"/>
          <a:ext cx="2085442" cy="50145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346174" y="93513"/>
        <a:ext cx="2056068" cy="472078"/>
      </dsp:txXfrm>
    </dsp:sp>
    <dsp:sp modelId="{EE9D00C4-D2C7-4FC5-8294-1E69973FB5F8}">
      <dsp:nvSpPr>
        <dsp:cNvPr id="0" name=""/>
        <dsp:cNvSpPr/>
      </dsp:nvSpPr>
      <dsp:spPr>
        <a:xfrm>
          <a:off x="5540032" y="580279"/>
          <a:ext cx="263179" cy="608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088"/>
              </a:lnTo>
              <a:lnTo>
                <a:pt x="263179" y="6080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803211" y="798144"/>
          <a:ext cx="1618067" cy="7804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პირს სხვაობაზე დაერიცხება ქონების გადასახადი</a:t>
          </a:r>
          <a:endParaRPr lang="en-US" sz="1100" b="0" i="0" kern="1200">
            <a:latin typeface="Sylfaen" pitchFamily="18" charset="0"/>
          </a:endParaRPr>
        </a:p>
      </dsp:txBody>
      <dsp:txXfrm>
        <a:off x="5826070" y="821003"/>
        <a:ext cx="1572349" cy="734729"/>
      </dsp:txXfrm>
    </dsp:sp>
    <dsp:sp modelId="{6A4A5C1A-F165-419D-AF4E-5B55115246BA}">
      <dsp:nvSpPr>
        <dsp:cNvPr id="0" name=""/>
        <dsp:cNvSpPr/>
      </dsp:nvSpPr>
      <dsp:spPr>
        <a:xfrm>
          <a:off x="5540032" y="580279"/>
          <a:ext cx="250209" cy="1650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0608"/>
              </a:lnTo>
              <a:lnTo>
                <a:pt x="250209" y="16506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790241" y="1745543"/>
          <a:ext cx="1715458" cy="9706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პირი დეკლარაციაში თანხის შემცირებისათვის დაჯარიმდება (სსკ-ის 132-ე მუხლი)</a:t>
          </a:r>
          <a:endParaRPr lang="en-US" sz="1100" kern="1200">
            <a:latin typeface="Sylfaen" pitchFamily="18" charset="0"/>
          </a:endParaRPr>
        </a:p>
      </dsp:txBody>
      <dsp:txXfrm>
        <a:off x="5818672" y="1773974"/>
        <a:ext cx="1658596" cy="913827"/>
      </dsp:txXfrm>
    </dsp:sp>
    <dsp:sp modelId="{7A77A501-18C6-4E1E-980E-85935AAB1579}">
      <dsp:nvSpPr>
        <dsp:cNvPr id="0" name=""/>
        <dsp:cNvSpPr/>
      </dsp:nvSpPr>
      <dsp:spPr>
        <a:xfrm>
          <a:off x="5540032" y="580279"/>
          <a:ext cx="343069" cy="3026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6573"/>
              </a:lnTo>
              <a:lnTo>
                <a:pt x="343069" y="30265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0E72C-D5C8-484D-B143-B06721B66917}">
      <dsp:nvSpPr>
        <dsp:cNvPr id="0" name=""/>
        <dsp:cNvSpPr/>
      </dsp:nvSpPr>
      <dsp:spPr>
        <a:xfrm>
          <a:off x="5883101" y="2929315"/>
          <a:ext cx="1561446" cy="1355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შენიშვნა: პირს სხვაობაზე დარიცხული გადასახადის აღიარებამდე სანქცია არ დაეკისრება</a:t>
          </a:r>
          <a:endParaRPr lang="en-US" sz="1100" kern="1200">
            <a:latin typeface="Sylfaen" pitchFamily="18" charset="0"/>
          </a:endParaRPr>
        </a:p>
      </dsp:txBody>
      <dsp:txXfrm>
        <a:off x="5922790" y="2969004"/>
        <a:ext cx="1482068" cy="1275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110D-C694-46B5-A267-0FF3136A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9</cp:revision>
  <cp:lastPrinted>2012-07-19T14:27:00Z</cp:lastPrinted>
  <dcterms:created xsi:type="dcterms:W3CDTF">2013-09-12T16:12:00Z</dcterms:created>
  <dcterms:modified xsi:type="dcterms:W3CDTF">2013-09-13T17:05:00Z</dcterms:modified>
</cp:coreProperties>
</file>