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1B47F9" w:rsidP="00A605F4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8658225"/>
            <wp:effectExtent l="0" t="0" r="3810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A605F4">
      <w:headerReference w:type="default" r:id="rId13"/>
      <w:pgSz w:w="12240" w:h="15840"/>
      <w:pgMar w:top="1260" w:right="360" w:bottom="27" w:left="117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57" w:rsidRDefault="00D37857" w:rsidP="00F92800">
      <w:pPr>
        <w:spacing w:after="0" w:line="240" w:lineRule="auto"/>
      </w:pPr>
      <w:r>
        <w:separator/>
      </w:r>
    </w:p>
  </w:endnote>
  <w:endnote w:type="continuationSeparator" w:id="0">
    <w:p w:rsidR="00D37857" w:rsidRDefault="00D37857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57" w:rsidRDefault="00D37857" w:rsidP="00F92800">
      <w:pPr>
        <w:spacing w:after="0" w:line="240" w:lineRule="auto"/>
      </w:pPr>
      <w:r>
        <w:separator/>
      </w:r>
    </w:p>
  </w:footnote>
  <w:footnote w:type="continuationSeparator" w:id="0">
    <w:p w:rsidR="00D37857" w:rsidRDefault="00D37857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806FAB" w:rsidRDefault="00A605F4" w:rsidP="001B47F9">
    <w:pPr>
      <w:pStyle w:val="Header"/>
      <w:jc w:val="center"/>
      <w:rPr>
        <w:rFonts w:ascii="Sylfaen" w:hAnsi="Sylfaen"/>
        <w:b/>
        <w:sz w:val="26"/>
        <w:szCs w:val="26"/>
      </w:rPr>
    </w:pPr>
    <w:r>
      <w:rPr>
        <w:rFonts w:ascii="Sylfaen" w:hAnsi="Sylfaen"/>
        <w:b/>
        <w:sz w:val="26"/>
        <w:szCs w:val="26"/>
        <w:lang w:val="ka-GE"/>
      </w:rPr>
      <w:t>საერთაშორისო გადაზიდვის დღგ-ით დაბევრა</w:t>
    </w:r>
    <w:r w:rsidR="00806FAB">
      <w:rPr>
        <w:rFonts w:ascii="Sylfaen" w:hAnsi="Sylfaen"/>
        <w:b/>
        <w:sz w:val="26"/>
        <w:szCs w:val="26"/>
        <w:lang w:val="ka-GE"/>
      </w:rPr>
      <w:t xml:space="preserve"> 115</w:t>
    </w:r>
    <w:r w:rsidR="00806FAB">
      <w:rPr>
        <w:rFonts w:ascii="Sylfaen" w:hAnsi="Sylfaen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282A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24594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5E0C1F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96B61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06FAB"/>
    <w:rsid w:val="0081567B"/>
    <w:rsid w:val="008162E2"/>
    <w:rsid w:val="008243AF"/>
    <w:rsid w:val="008253F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07B9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A2833"/>
    <w:rsid w:val="009B049E"/>
    <w:rsid w:val="009B39D6"/>
    <w:rsid w:val="009E6A2D"/>
    <w:rsid w:val="009E7494"/>
    <w:rsid w:val="00A058F6"/>
    <w:rsid w:val="00A167C0"/>
    <w:rsid w:val="00A168BD"/>
    <w:rsid w:val="00A201B3"/>
    <w:rsid w:val="00A605F4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37857"/>
    <w:rsid w:val="00D41BF1"/>
    <w:rsid w:val="00D52211"/>
    <w:rsid w:val="00D53A7E"/>
    <w:rsid w:val="00D713C3"/>
    <w:rsid w:val="00D849AF"/>
    <w:rsid w:val="00D961E2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1CD3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000" b="0" baseline="0">
              <a:latin typeface="Sylfaen" pitchFamily="18" charset="0"/>
            </a:rPr>
            <a:t>საქართველოს საწარმოსა და არარეზიდენტ ექსპედიტორულ საწარმოს შორის  გაფორმებული ხელშეკრულების საფუძველზე, არარეზიდენტმა ექსპედიტორულმა საწარმომ კლიენტისათვის უნდა განახორციელოს ტვირთის საფრანგეთიდან თბილისში ჩამოტანა.</a:t>
          </a:r>
          <a:endParaRPr lang="en-US" sz="10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არარეზიდენტმა ექსპედიტორმა ფოთიდან თბილისამდე ტვირთის გადმოსატანად დაიქირავა რეზიდენტი ექსპედიტორი, რომელმაც უზრუნველყო ტვირთის ფოთიდან თბილისამდე ტრანსპორტირების ორგანიზება. საქონლის განბაჟება მოხდა თბილისში.</a:t>
          </a:r>
          <a:endParaRPr lang="en-US" sz="10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en-US" sz="1000">
              <a:solidFill>
                <a:schemeClr val="tx1"/>
              </a:solidFill>
              <a:latin typeface="Sylfaen" pitchFamily="18" charset="0"/>
            </a:rPr>
            <a:t>II</a:t>
          </a:r>
          <a:r>
            <a:rPr lang="ka-GE" sz="1000">
              <a:solidFill>
                <a:schemeClr val="tx1"/>
              </a:solidFill>
              <a:latin typeface="Sylfaen" pitchFamily="18" charset="0"/>
            </a:rPr>
            <a:t>  და </a:t>
          </a:r>
          <a:r>
            <a:rPr lang="en-US" sz="1000">
              <a:solidFill>
                <a:schemeClr val="tx1"/>
              </a:solidFill>
              <a:latin typeface="Sylfaen" pitchFamily="18" charset="0"/>
            </a:rPr>
            <a:t> IV</a:t>
          </a:r>
          <a:r>
            <a:rPr lang="ka-GE" sz="1000">
              <a:solidFill>
                <a:schemeClr val="tx1"/>
              </a:solidFill>
              <a:latin typeface="Sylfaen" pitchFamily="18" charset="0"/>
            </a:rPr>
            <a:t>  ვარიანტი 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აღნიშნულ პერიოდში მოქმედი სსკ-ის გათვალისწინებით, მომსახურება უნდა განხილულიყო საერთაშორისო გადაზიდვის შემადგენელ ნაწილად და რეზიდენტი ექსპედიტორული საწარმოს ოპერაცია უნდა დაბეგრილიყო დღგ-ის ნულოვანი განაკვეთით.</a:t>
          </a:r>
          <a:endParaRPr lang="en-US" sz="10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</a:t>
          </a:r>
          <a:r>
            <a:rPr lang="ka-GE" sz="1000">
              <a:latin typeface="Sylfaen" pitchFamily="18" charset="0"/>
            </a:rPr>
            <a:t>  და </a:t>
          </a:r>
          <a:r>
            <a:rPr lang="en-US" sz="1000">
              <a:latin typeface="Sylfaen" pitchFamily="18" charset="0"/>
            </a:rPr>
            <a:t>III</a:t>
          </a:r>
          <a:r>
            <a:rPr lang="ka-GE" sz="1000">
              <a:latin typeface="Sylfaen" pitchFamily="18" charset="0"/>
            </a:rPr>
            <a:t>  ვარიანტი</a:t>
          </a:r>
        </a:p>
        <a:p>
          <a:r>
            <a:rPr lang="ka-GE" sz="1000">
              <a:latin typeface="Sylfaen" pitchFamily="18" charset="0"/>
            </a:rPr>
            <a:t>აღნიშნულ პერიოდში მოქმედი სსკ-ის გათვალისწინებით, რეზიდენტი ექსპედიტორული საწარმოს მომსახურება უნდა დაბეგრილიყო  დღგ-ის    18%-იანი განაკვეთით </a:t>
          </a:r>
          <a:endParaRPr lang="en-US" sz="10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000" b="0" i="0">
              <a:latin typeface="Sylfaen" pitchFamily="18" charset="0"/>
            </a:rPr>
            <a:t>I </a:t>
          </a:r>
          <a:r>
            <a:rPr lang="ka-GE" sz="1000" b="0" i="0">
              <a:latin typeface="Sylfaen" pitchFamily="18" charset="0"/>
            </a:rPr>
            <a:t>  </a:t>
          </a:r>
          <a:r>
            <a:rPr lang="en-US" sz="1000" b="0" i="0">
              <a:latin typeface="Sylfaen" pitchFamily="18" charset="0"/>
            </a:rPr>
            <a:t> </a:t>
          </a:r>
          <a:r>
            <a:rPr lang="ka-GE" sz="1000" b="0" i="0">
              <a:latin typeface="Sylfaen" pitchFamily="18" charset="0"/>
            </a:rPr>
            <a:t>და </a:t>
          </a:r>
          <a:r>
            <a:rPr lang="en-US" sz="1000" b="0" i="0">
              <a:latin typeface="Sylfaen" pitchFamily="18" charset="0"/>
            </a:rPr>
            <a:t>III</a:t>
          </a:r>
          <a:r>
            <a:rPr lang="ka-GE" sz="1000" b="0" i="0">
              <a:latin typeface="Sylfaen" pitchFamily="18" charset="0"/>
            </a:rPr>
            <a:t> ვარიანტში</a:t>
          </a:r>
        </a:p>
        <a:p>
          <a:r>
            <a:rPr lang="ka-GE" sz="1000" b="0" i="0">
              <a:latin typeface="Sylfaen" pitchFamily="18" charset="0"/>
            </a:rPr>
            <a:t>მოცემული გარემოებების გათვალისწინებით, უნდა განხორციელდეს დასაბეგრი მოგებისა და დღგ-ის ბრუნვის გადაანგარიშება</a:t>
          </a:r>
          <a:endParaRPr lang="en-US" sz="10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</a:t>
          </a:r>
          <a:r>
            <a:rPr lang="ka-GE" sz="1000">
              <a:latin typeface="Sylfaen" pitchFamily="18" charset="0"/>
            </a:rPr>
            <a:t>  და </a:t>
          </a:r>
          <a:r>
            <a:rPr lang="en-US" sz="1000">
              <a:latin typeface="Sylfaen" pitchFamily="18" charset="0"/>
            </a:rPr>
            <a:t>III</a:t>
          </a:r>
          <a:r>
            <a:rPr lang="ka-GE" sz="1000">
              <a:latin typeface="Sylfaen" pitchFamily="18" charset="0"/>
            </a:rPr>
            <a:t> ვარიანტში</a:t>
          </a:r>
        </a:p>
        <a:p>
          <a:r>
            <a:rPr lang="ka-GE" sz="1000">
              <a:latin typeface="Sylfaen" pitchFamily="18" charset="0"/>
            </a:rPr>
            <a:t>დეკლარაციაში გადასახადის  შემცირების შემთხვევაში ექსპედიტორული საწარმო დაჯარიმდება სსკ-ის 275-ე    (ან ძვ. 132-ე) მუხლის შესაბამისად.</a:t>
          </a:r>
          <a:endParaRPr lang="en-US" sz="10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საქართველოს რეზიდენტი ექსპედიტორული საწარმოს მიერ არარეზიდენტი საწარმოსათვის მომსახურება გაწეულ იქნა:</a:t>
          </a:r>
        </a:p>
        <a:p>
          <a:r>
            <a:rPr lang="en-US" sz="1000">
              <a:latin typeface="Sylfaen" pitchFamily="18" charset="0"/>
            </a:rPr>
            <a:t>I-</a:t>
          </a:r>
          <a:r>
            <a:rPr lang="ka-GE" sz="1000">
              <a:latin typeface="Sylfaen" pitchFamily="18" charset="0"/>
            </a:rPr>
            <a:t> 2006 წლის 1 ივნისამდე;</a:t>
          </a:r>
        </a:p>
        <a:p>
          <a:r>
            <a:rPr lang="en-US" sz="1000">
              <a:latin typeface="Sylfaen" pitchFamily="18" charset="0"/>
            </a:rPr>
            <a:t>II</a:t>
          </a:r>
          <a:r>
            <a:rPr lang="ka-GE" sz="1000">
              <a:latin typeface="Sylfaen" pitchFamily="18" charset="0"/>
            </a:rPr>
            <a:t>- 2006  წლის 1 ივნისიდან 2011 წლის 1 იანვრამდე;</a:t>
          </a:r>
        </a:p>
        <a:p>
          <a:r>
            <a:rPr lang="en-US" sz="1000">
              <a:latin typeface="Sylfaen" pitchFamily="18" charset="0"/>
            </a:rPr>
            <a:t>III</a:t>
          </a:r>
          <a:r>
            <a:rPr lang="ka-GE" sz="1000">
              <a:latin typeface="Sylfaen" pitchFamily="18" charset="0"/>
            </a:rPr>
            <a:t> - 2011 წლის 1 იანვრიდან 2011 წლის 20 მაისამდე;</a:t>
          </a:r>
        </a:p>
        <a:p>
          <a:r>
            <a:rPr lang="en-US" sz="1000">
              <a:latin typeface="Sylfaen" pitchFamily="18" charset="0"/>
            </a:rPr>
            <a:t>IV</a:t>
          </a:r>
          <a:r>
            <a:rPr lang="ru-RU" sz="1000">
              <a:latin typeface="Sylfaen" pitchFamily="18" charset="0"/>
            </a:rPr>
            <a:t> - 2011 </a:t>
          </a:r>
          <a:r>
            <a:rPr lang="ka-GE" sz="1000">
              <a:latin typeface="Sylfaen" pitchFamily="18" charset="0"/>
            </a:rPr>
            <a:t>წლის 20 მაისის შემდგომ საანგარიშო პერიოდში</a:t>
          </a:r>
          <a:endParaRPr lang="en-US" sz="10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საქართველოს რეზიდენტი ექსპედიტორული საწარმოს მიერ არარეზიდენტი საწარმოსთვის გაწეული მომსახურება მიჩნეული იქნა საერთაშორისო გადაზიდვის შემადგენელ ნაწილად და დაბეგრა დღგ-ის ნულოვანი განაკვეთით.</a:t>
          </a:r>
          <a:endParaRPr lang="en-US" sz="10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8D18E4FA-749A-4048-9690-18138AF78133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II</a:t>
          </a:r>
          <a:r>
            <a:rPr lang="ka-GE" sz="1000">
              <a:latin typeface="Sylfaen" pitchFamily="18" charset="0"/>
            </a:rPr>
            <a:t> </a:t>
          </a:r>
          <a:r>
            <a:rPr lang="en-US" sz="1000">
              <a:latin typeface="Sylfaen" pitchFamily="18" charset="0"/>
            </a:rPr>
            <a:t> </a:t>
          </a:r>
          <a:r>
            <a:rPr lang="ka-GE" sz="1000">
              <a:latin typeface="Sylfaen" pitchFamily="18" charset="0"/>
            </a:rPr>
            <a:t> და </a:t>
          </a:r>
          <a:r>
            <a:rPr lang="en-US" sz="1000">
              <a:latin typeface="Sylfaen" pitchFamily="18" charset="0"/>
            </a:rPr>
            <a:t>IV</a:t>
          </a:r>
          <a:r>
            <a:rPr lang="ka-GE" sz="1000">
              <a:latin typeface="Sylfaen" pitchFamily="18" charset="0"/>
            </a:rPr>
            <a:t> ვარიანტში </a:t>
          </a:r>
        </a:p>
        <a:p>
          <a:r>
            <a:rPr lang="ka-GE" sz="1000">
              <a:latin typeface="Sylfaen" pitchFamily="18" charset="0"/>
            </a:rPr>
            <a:t>საგადასახადო სამართალდარღვევა  არ იკვეთება და დამატებითი  საგადასახადო ვალდებულების დაკისრება არ ხდება </a:t>
          </a:r>
          <a:endParaRPr lang="en-US" sz="1000">
            <a:latin typeface="Sylfaen" pitchFamily="18" charset="0"/>
          </a:endParaRPr>
        </a:p>
      </dgm:t>
    </dgm:pt>
    <dgm:pt modelId="{C7E073C6-8D19-4FF1-A620-5D71620F30D7}" type="parTrans" cxnId="{75EA21D8-792A-421F-A182-05CC827B1D1F}">
      <dgm:prSet/>
      <dgm:spPr/>
      <dgm:t>
        <a:bodyPr/>
        <a:lstStyle/>
        <a:p>
          <a:endParaRPr lang="en-US"/>
        </a:p>
      </dgm:t>
    </dgm:pt>
    <dgm:pt modelId="{F5EB3005-CE56-4763-91D1-812F96047631}" type="sibTrans" cxnId="{75EA21D8-792A-421F-A182-05CC827B1D1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2738" custLinFactNeighborY="-694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289868" custScaleY="335108" custLinFactNeighborX="-5402" custLinFactNeighborY="1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291739" custScaleY="329484" custLinFactNeighborX="-4166" custLinFactNeighborY="-67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9" custScaleX="278879" custScaleY="399655" custLinFactNeighborX="3079" custLinFactNeighborY="-137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9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9" custScaleX="275215" custScaleY="283064" custLinFactNeighborX="1645" custLinFactNeighborY="-201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91342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9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9" custScaleX="216990" custScaleY="301839" custLinFactNeighborX="6753" custLinFactNeighborY="-18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5" presStyleCnt="9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9" custScaleX="219636" custScaleY="444452" custLinFactNeighborX="10439" custLinFactNeighborY="161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13527" custLinFactNeighborY="-694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9" custScaleX="208160" custScaleY="306339" custLinFactNeighborX="7972" custLinFactNeighborY="-50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9" custScaleX="222017" custScaleY="274130" custLinFactNeighborX="9698" custLinFactNeighborY="4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AE34D-0F70-4AFD-A437-4FDD7AACB40A}" type="pres">
      <dgm:prSet presAssocID="{C7E073C6-8D19-4FF1-A620-5D71620F30D7}" presName="Name13" presStyleLbl="parChTrans1D2" presStyleIdx="8" presStyleCnt="9"/>
      <dgm:spPr/>
      <dgm:t>
        <a:bodyPr/>
        <a:lstStyle/>
        <a:p>
          <a:endParaRPr lang="en-US"/>
        </a:p>
      </dgm:t>
    </dgm:pt>
    <dgm:pt modelId="{78968974-0E2F-4A16-A541-A70F1C305D38}" type="pres">
      <dgm:prSet presAssocID="{8D18E4FA-749A-4048-9690-18138AF78133}" presName="childText" presStyleLbl="bgAcc1" presStyleIdx="8" presStyleCnt="9" custScaleX="240112" custScaleY="314098" custLinFactNeighborX="7675" custLinFactNeighborY="25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B0C5DFBE-711E-4676-A9EC-449B8849A2C6}" type="presOf" srcId="{63BFCA6C-BEC4-435A-8E72-0F4C0248610F}" destId="{EE9D00C4-D2C7-4FC5-8294-1E69973FB5F8}" srcOrd="0" destOrd="0" presId="urn:microsoft.com/office/officeart/2005/8/layout/hierarchy3"/>
    <dgm:cxn modelId="{CBB13794-2BE6-4361-939C-4BED8C858008}" type="presOf" srcId="{7A04CAFD-4178-42C6-A8A9-9AEDE02E722B}" destId="{05535EEA-AF24-4D00-970F-61BCA10C7B8D}" srcOrd="0" destOrd="0" presId="urn:microsoft.com/office/officeart/2005/8/layout/hierarchy3"/>
    <dgm:cxn modelId="{9C38E08E-564C-4495-B216-4BE88F331EA0}" type="presOf" srcId="{C7E073C6-8D19-4FF1-A620-5D71620F30D7}" destId="{7EBAE34D-0F70-4AFD-A437-4FDD7AACB40A}" srcOrd="0" destOrd="0" presId="urn:microsoft.com/office/officeart/2005/8/layout/hierarchy3"/>
    <dgm:cxn modelId="{B9E91120-449E-47AB-8421-46F3509745C5}" type="presOf" srcId="{5E6CAE7C-1E1C-4C8B-A149-F2DF7D7EB064}" destId="{35EFBF09-AA66-4304-8BE8-6A3B95A020A2}" srcOrd="0" destOrd="0" presId="urn:microsoft.com/office/officeart/2005/8/layout/hierarchy3"/>
    <dgm:cxn modelId="{E339C482-814A-4576-B6F2-4C2BA9653CDC}" type="presOf" srcId="{33991C9A-45FF-4E3A-85EA-5775C1E59D36}" destId="{811180F8-985E-43C1-93D2-0134FBDCA749}" srcOrd="0" destOrd="0" presId="urn:microsoft.com/office/officeart/2005/8/layout/hierarchy3"/>
    <dgm:cxn modelId="{21C27F22-00B9-4CEF-A5ED-449608F562DE}" type="presOf" srcId="{B4D11B42-E642-4237-B8F9-795C9B3B1616}" destId="{5833CB5C-BF6D-4796-A3D1-E840B57D7143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75EA21D8-792A-421F-A182-05CC827B1D1F}" srcId="{E40EDAB5-D188-4812-A61A-95A9AC19C0AE}" destId="{8D18E4FA-749A-4048-9690-18138AF78133}" srcOrd="2" destOrd="0" parTransId="{C7E073C6-8D19-4FF1-A620-5D71620F30D7}" sibTransId="{F5EB3005-CE56-4763-91D1-812F96047631}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B4E59E3A-39A1-488B-B1D3-22BF2305ED6D}" type="presOf" srcId="{6EDDC9A4-7743-45A1-A47F-DDC8AA334378}" destId="{8E010497-E5A8-4319-AFB0-5D34092ECD88}" srcOrd="1" destOrd="0" presId="urn:microsoft.com/office/officeart/2005/8/layout/hierarchy3"/>
    <dgm:cxn modelId="{EC5C6FB6-FE8E-4AFF-ACCF-24386ED743CC}" type="presOf" srcId="{02B9985B-7F57-43D5-A167-ED9248916466}" destId="{E401CA66-E0CC-4580-B865-916053515C0A}" srcOrd="0" destOrd="0" presId="urn:microsoft.com/office/officeart/2005/8/layout/hierarchy3"/>
    <dgm:cxn modelId="{F6CC4FC2-0DE3-43EB-9683-B87D09AD1AC6}" type="presOf" srcId="{E40EDAB5-D188-4812-A61A-95A9AC19C0AE}" destId="{FA81A31F-68B4-47C4-B547-823393526F80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F381E34C-ABE2-486C-A083-FCD529546C51}" type="presOf" srcId="{0864151C-55A8-4402-A51E-35DDE1DCFDCF}" destId="{F5A8D68E-1317-4112-8179-3D951CA9F398}" srcOrd="1" destOrd="0" presId="urn:microsoft.com/office/officeart/2005/8/layout/hierarchy3"/>
    <dgm:cxn modelId="{C124E07A-40B6-4A42-9443-FAEFE1055E9B}" type="presOf" srcId="{9C07E8BA-B3FD-42C8-B782-31F94FDE4DD6}" destId="{F5A3E357-4324-493A-86ED-EC691E29B73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6B3695AE-181D-42A1-8956-DB3872D87552}" type="presOf" srcId="{6EDDC9A4-7743-45A1-A47F-DDC8AA334378}" destId="{1A83EF98-3231-40EA-B1D6-7E43DBA651A6}" srcOrd="0" destOrd="0" presId="urn:microsoft.com/office/officeart/2005/8/layout/hierarchy3"/>
    <dgm:cxn modelId="{370DC1FA-2B27-46CF-9198-627782DF3AEB}" type="presOf" srcId="{EC4D90D5-A3B7-4A12-88DA-77AA7E9A9696}" destId="{502E3CA8-4633-4F6E-956E-8D77AF0B9A67}" srcOrd="0" destOrd="0" presId="urn:microsoft.com/office/officeart/2005/8/layout/hierarchy3"/>
    <dgm:cxn modelId="{BC2F8B05-F34C-4CF9-8179-0902F154E42B}" type="presOf" srcId="{E40EDAB5-D188-4812-A61A-95A9AC19C0AE}" destId="{A52CC481-1E94-45D5-998C-116D7F06F43C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3631CC46-5E20-469A-826C-EC0523E5E125}" type="presOf" srcId="{C05276AB-2B37-4F03-80CB-53681018626A}" destId="{A0FCCB2E-3A45-460E-890E-5C6DC46BDDA2}" srcOrd="0" destOrd="0" presId="urn:microsoft.com/office/officeart/2005/8/layout/hierarchy3"/>
    <dgm:cxn modelId="{F86C6345-4BBC-4F33-BE1C-CC0A92A51BA6}" type="presOf" srcId="{9EB67732-3D77-4837-997C-BE4062F9BB54}" destId="{6BDC0A78-E0F7-49BA-94F7-90F8325464B0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7AE2853-317A-4F01-A68D-1132F2F8EC32}" type="presOf" srcId="{2A593D08-6C4F-4893-8DEF-0F179E451227}" destId="{06166254-EAD0-4311-851E-F063E7192781}" srcOrd="0" destOrd="0" presId="urn:microsoft.com/office/officeart/2005/8/layout/hierarchy3"/>
    <dgm:cxn modelId="{4F5697B7-DD21-4321-A0FF-E22DC09340C6}" type="presOf" srcId="{F528A14A-AF5E-44E4-A87B-FFE84FA0635C}" destId="{584661F5-5507-495B-A407-8A7C5FB47BFB}" srcOrd="0" destOrd="0" presId="urn:microsoft.com/office/officeart/2005/8/layout/hierarchy3"/>
    <dgm:cxn modelId="{EFACCAE6-553E-4A71-850C-48475A863FC6}" type="presOf" srcId="{8D18E4FA-749A-4048-9690-18138AF78133}" destId="{78968974-0E2F-4A16-A541-A70F1C305D38}" srcOrd="0" destOrd="0" presId="urn:microsoft.com/office/officeart/2005/8/layout/hierarchy3"/>
    <dgm:cxn modelId="{71B34643-B2E5-4CF5-A0FE-27DC13C92A24}" type="presOf" srcId="{AF2C8C0F-097D-4DC9-9C67-E8D19F634135}" destId="{B388476D-662D-499E-86FF-075E40B9B116}" srcOrd="0" destOrd="0" presId="urn:microsoft.com/office/officeart/2005/8/layout/hierarchy3"/>
    <dgm:cxn modelId="{8A94C7CC-0DF9-43A5-B686-1D856ABA5E05}" type="presOf" srcId="{C902E2DB-BEC8-4856-BA4D-E8C3C7168B79}" destId="{F1317D2F-48EA-4414-B8C3-0F0DF1020FA4}" srcOrd="0" destOrd="0" presId="urn:microsoft.com/office/officeart/2005/8/layout/hierarchy3"/>
    <dgm:cxn modelId="{89540C0F-E10B-40A4-8AE8-44005901B3D8}" type="presOf" srcId="{0864151C-55A8-4402-A51E-35DDE1DCFDCF}" destId="{CCF1B5AD-441C-4182-AB14-F5EBF8654620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9A39677E-95E7-46AE-84C4-F2F112DA11B3}" type="presOf" srcId="{04CF069F-3651-45EC-8CB2-537F82ED770E}" destId="{6A4A5C1A-F165-419D-AF4E-5B55115246BA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C569CAFB-02E0-4CFB-A492-33B30703FE5E}" type="presOf" srcId="{3F98D161-D752-4940-A3D1-1ED95BE5267D}" destId="{5873286C-BE2C-4BDC-AB7F-83A56B85C3BA}" srcOrd="0" destOrd="0" presId="urn:microsoft.com/office/officeart/2005/8/layout/hierarchy3"/>
    <dgm:cxn modelId="{9410FDAF-7D3A-4BE4-8658-C020CCC9DB85}" type="presOf" srcId="{29A998F4-CA6D-4B77-B703-EBB58EDD4D4D}" destId="{9272F942-0445-4013-9BB5-584A45F92046}" srcOrd="0" destOrd="0" presId="urn:microsoft.com/office/officeart/2005/8/layout/hierarchy3"/>
    <dgm:cxn modelId="{F73C2943-BC9E-465B-8E66-ABE7C4BEAB1E}" type="presParOf" srcId="{B388476D-662D-499E-86FF-075E40B9B116}" destId="{4CCE11F2-9671-4C6B-9F76-2C10D78361EF}" srcOrd="0" destOrd="0" presId="urn:microsoft.com/office/officeart/2005/8/layout/hierarchy3"/>
    <dgm:cxn modelId="{00A420F8-C682-4DBB-94FF-AE9749DD4468}" type="presParOf" srcId="{4CCE11F2-9671-4C6B-9F76-2C10D78361EF}" destId="{C557614C-F630-4D5F-BE22-AB9FC945D279}" srcOrd="0" destOrd="0" presId="urn:microsoft.com/office/officeart/2005/8/layout/hierarchy3"/>
    <dgm:cxn modelId="{C73D8BB3-7468-4D0C-9B58-12D8AEC7AAE0}" type="presParOf" srcId="{C557614C-F630-4D5F-BE22-AB9FC945D279}" destId="{1A83EF98-3231-40EA-B1D6-7E43DBA651A6}" srcOrd="0" destOrd="0" presId="urn:microsoft.com/office/officeart/2005/8/layout/hierarchy3"/>
    <dgm:cxn modelId="{69D560F5-E31E-4BCD-8AB2-132A1EDD7F82}" type="presParOf" srcId="{C557614C-F630-4D5F-BE22-AB9FC945D279}" destId="{8E010497-E5A8-4319-AFB0-5D34092ECD88}" srcOrd="1" destOrd="0" presId="urn:microsoft.com/office/officeart/2005/8/layout/hierarchy3"/>
    <dgm:cxn modelId="{1C30924A-2790-4694-8092-1BBC5A1A1507}" type="presParOf" srcId="{4CCE11F2-9671-4C6B-9F76-2C10D78361EF}" destId="{2F8125D7-8EE8-4988-87E0-9DDFA76BED4A}" srcOrd="1" destOrd="0" presId="urn:microsoft.com/office/officeart/2005/8/layout/hierarchy3"/>
    <dgm:cxn modelId="{CEA034B8-B545-44F8-9610-FFF0C9D23A49}" type="presParOf" srcId="{2F8125D7-8EE8-4988-87E0-9DDFA76BED4A}" destId="{E401CA66-E0CC-4580-B865-916053515C0A}" srcOrd="0" destOrd="0" presId="urn:microsoft.com/office/officeart/2005/8/layout/hierarchy3"/>
    <dgm:cxn modelId="{2EA14FC1-DF7D-4A47-AA93-ABE5E81EFA29}" type="presParOf" srcId="{2F8125D7-8EE8-4988-87E0-9DDFA76BED4A}" destId="{502E3CA8-4633-4F6E-956E-8D77AF0B9A67}" srcOrd="1" destOrd="0" presId="urn:microsoft.com/office/officeart/2005/8/layout/hierarchy3"/>
    <dgm:cxn modelId="{C7427EB7-413A-4D1A-8825-9A8321E3317C}" type="presParOf" srcId="{2F8125D7-8EE8-4988-87E0-9DDFA76BED4A}" destId="{F1317D2F-48EA-4414-B8C3-0F0DF1020FA4}" srcOrd="2" destOrd="0" presId="urn:microsoft.com/office/officeart/2005/8/layout/hierarchy3"/>
    <dgm:cxn modelId="{E0CA34CC-4690-461E-95C6-74FECB4ABD1B}" type="presParOf" srcId="{2F8125D7-8EE8-4988-87E0-9DDFA76BED4A}" destId="{06166254-EAD0-4311-851E-F063E7192781}" srcOrd="3" destOrd="0" presId="urn:microsoft.com/office/officeart/2005/8/layout/hierarchy3"/>
    <dgm:cxn modelId="{18204102-31A2-4F15-A6C0-7357A827959F}" type="presParOf" srcId="{2F8125D7-8EE8-4988-87E0-9DDFA76BED4A}" destId="{6BDC0A78-E0F7-49BA-94F7-90F8325464B0}" srcOrd="4" destOrd="0" presId="urn:microsoft.com/office/officeart/2005/8/layout/hierarchy3"/>
    <dgm:cxn modelId="{41876912-345D-4A3F-8CE9-3C3C7952CDC5}" type="presParOf" srcId="{2F8125D7-8EE8-4988-87E0-9DDFA76BED4A}" destId="{A0FCCB2E-3A45-460E-890E-5C6DC46BDDA2}" srcOrd="5" destOrd="0" presId="urn:microsoft.com/office/officeart/2005/8/layout/hierarchy3"/>
    <dgm:cxn modelId="{3DB09F9B-E707-4594-81A7-DB6DEAAB3F2E}" type="presParOf" srcId="{2F8125D7-8EE8-4988-87E0-9DDFA76BED4A}" destId="{05535EEA-AF24-4D00-970F-61BCA10C7B8D}" srcOrd="6" destOrd="0" presId="urn:microsoft.com/office/officeart/2005/8/layout/hierarchy3"/>
    <dgm:cxn modelId="{D81A703E-E544-4683-882D-693CFC31EBE9}" type="presParOf" srcId="{2F8125D7-8EE8-4988-87E0-9DDFA76BED4A}" destId="{35EFBF09-AA66-4304-8BE8-6A3B95A020A2}" srcOrd="7" destOrd="0" presId="urn:microsoft.com/office/officeart/2005/8/layout/hierarchy3"/>
    <dgm:cxn modelId="{120878AB-DB47-4EFF-BBC1-B1DE75FC96BA}" type="presParOf" srcId="{B388476D-662D-499E-86FF-075E40B9B116}" destId="{2FB5DE3C-867A-44B8-89CD-BAF599600FD9}" srcOrd="1" destOrd="0" presId="urn:microsoft.com/office/officeart/2005/8/layout/hierarchy3"/>
    <dgm:cxn modelId="{0657499F-6A3A-4B9A-9E5F-3686B63CC0CF}" type="presParOf" srcId="{2FB5DE3C-867A-44B8-89CD-BAF599600FD9}" destId="{9DE9E381-FFCB-4D13-B9AA-C091B657A585}" srcOrd="0" destOrd="0" presId="urn:microsoft.com/office/officeart/2005/8/layout/hierarchy3"/>
    <dgm:cxn modelId="{BE2B1CB4-D7F6-4BC0-A6D9-44224F9213B8}" type="presParOf" srcId="{9DE9E381-FFCB-4D13-B9AA-C091B657A585}" destId="{CCF1B5AD-441C-4182-AB14-F5EBF8654620}" srcOrd="0" destOrd="0" presId="urn:microsoft.com/office/officeart/2005/8/layout/hierarchy3"/>
    <dgm:cxn modelId="{CED53478-1B0D-46D6-B82E-F74234D380AA}" type="presParOf" srcId="{9DE9E381-FFCB-4D13-B9AA-C091B657A585}" destId="{F5A8D68E-1317-4112-8179-3D951CA9F398}" srcOrd="1" destOrd="0" presId="urn:microsoft.com/office/officeart/2005/8/layout/hierarchy3"/>
    <dgm:cxn modelId="{AD45336A-A0DB-44C7-A865-A9531D57DBCE}" type="presParOf" srcId="{2FB5DE3C-867A-44B8-89CD-BAF599600FD9}" destId="{25491ECF-4A66-42F1-8AA3-00082B855958}" srcOrd="1" destOrd="0" presId="urn:microsoft.com/office/officeart/2005/8/layout/hierarchy3"/>
    <dgm:cxn modelId="{1687B844-EC13-42D1-9DC4-2DE78B6BCEE2}" type="presParOf" srcId="{25491ECF-4A66-42F1-8AA3-00082B855958}" destId="{584661F5-5507-495B-A407-8A7C5FB47BFB}" srcOrd="0" destOrd="0" presId="urn:microsoft.com/office/officeart/2005/8/layout/hierarchy3"/>
    <dgm:cxn modelId="{CD2AD98A-5315-4647-8425-C59854BDFAFF}" type="presParOf" srcId="{25491ECF-4A66-42F1-8AA3-00082B855958}" destId="{811180F8-985E-43C1-93D2-0134FBDCA749}" srcOrd="1" destOrd="0" presId="urn:microsoft.com/office/officeart/2005/8/layout/hierarchy3"/>
    <dgm:cxn modelId="{3E5C0A43-7A8C-4635-A1C2-480BA762553B}" type="presParOf" srcId="{25491ECF-4A66-42F1-8AA3-00082B855958}" destId="{5873286C-BE2C-4BDC-AB7F-83A56B85C3BA}" srcOrd="2" destOrd="0" presId="urn:microsoft.com/office/officeart/2005/8/layout/hierarchy3"/>
    <dgm:cxn modelId="{A7F1F15C-BCB7-40CF-BFFC-0465D9179B9F}" type="presParOf" srcId="{25491ECF-4A66-42F1-8AA3-00082B855958}" destId="{F5A3E357-4324-493A-86ED-EC691E29B736}" srcOrd="3" destOrd="0" presId="urn:microsoft.com/office/officeart/2005/8/layout/hierarchy3"/>
    <dgm:cxn modelId="{F50C9AAA-E2B8-4F2E-AC75-E32E996318F5}" type="presParOf" srcId="{B388476D-662D-499E-86FF-075E40B9B116}" destId="{B5F88AEE-451A-4C5A-8D98-001CB6888185}" srcOrd="2" destOrd="0" presId="urn:microsoft.com/office/officeart/2005/8/layout/hierarchy3"/>
    <dgm:cxn modelId="{5BE67DB7-DC57-4635-95E0-8BDB7D35FEDE}" type="presParOf" srcId="{B5F88AEE-451A-4C5A-8D98-001CB6888185}" destId="{CE3720F1-9340-4685-87FD-D50F37CC033B}" srcOrd="0" destOrd="0" presId="urn:microsoft.com/office/officeart/2005/8/layout/hierarchy3"/>
    <dgm:cxn modelId="{9CC42A49-6572-4FD6-A0D4-B22B63C7AA9A}" type="presParOf" srcId="{CE3720F1-9340-4685-87FD-D50F37CC033B}" destId="{A52CC481-1E94-45D5-998C-116D7F06F43C}" srcOrd="0" destOrd="0" presId="urn:microsoft.com/office/officeart/2005/8/layout/hierarchy3"/>
    <dgm:cxn modelId="{6EF7B381-D754-4685-A147-5C569C2A4F44}" type="presParOf" srcId="{CE3720F1-9340-4685-87FD-D50F37CC033B}" destId="{FA81A31F-68B4-47C4-B547-823393526F80}" srcOrd="1" destOrd="0" presId="urn:microsoft.com/office/officeart/2005/8/layout/hierarchy3"/>
    <dgm:cxn modelId="{D284E8C6-4D8F-481C-B7C0-5F11A4D65C13}" type="presParOf" srcId="{B5F88AEE-451A-4C5A-8D98-001CB6888185}" destId="{13D5A3C6-CE80-425E-9D29-FCD90E15EBB7}" srcOrd="1" destOrd="0" presId="urn:microsoft.com/office/officeart/2005/8/layout/hierarchy3"/>
    <dgm:cxn modelId="{B5905646-A71C-4021-AE78-AA31ABBDE248}" type="presParOf" srcId="{13D5A3C6-CE80-425E-9D29-FCD90E15EBB7}" destId="{EE9D00C4-D2C7-4FC5-8294-1E69973FB5F8}" srcOrd="0" destOrd="0" presId="urn:microsoft.com/office/officeart/2005/8/layout/hierarchy3"/>
    <dgm:cxn modelId="{A0FA9A83-0055-489E-A2F2-5850E8D1806C}" type="presParOf" srcId="{13D5A3C6-CE80-425E-9D29-FCD90E15EBB7}" destId="{5833CB5C-BF6D-4796-A3D1-E840B57D7143}" srcOrd="1" destOrd="0" presId="urn:microsoft.com/office/officeart/2005/8/layout/hierarchy3"/>
    <dgm:cxn modelId="{CC51F1F8-2E51-43BB-AFA5-2932D4864CF3}" type="presParOf" srcId="{13D5A3C6-CE80-425E-9D29-FCD90E15EBB7}" destId="{6A4A5C1A-F165-419D-AF4E-5B55115246BA}" srcOrd="2" destOrd="0" presId="urn:microsoft.com/office/officeart/2005/8/layout/hierarchy3"/>
    <dgm:cxn modelId="{2D0CB296-644F-4F2A-BAA7-536823D5B58A}" type="presParOf" srcId="{13D5A3C6-CE80-425E-9D29-FCD90E15EBB7}" destId="{9272F942-0445-4013-9BB5-584A45F92046}" srcOrd="3" destOrd="0" presId="urn:microsoft.com/office/officeart/2005/8/layout/hierarchy3"/>
    <dgm:cxn modelId="{0812DB0D-B452-42E5-AC07-E63C55E2F1F1}" type="presParOf" srcId="{13D5A3C6-CE80-425E-9D29-FCD90E15EBB7}" destId="{7EBAE34D-0F70-4AFD-A437-4FDD7AACB40A}" srcOrd="4" destOrd="0" presId="urn:microsoft.com/office/officeart/2005/8/layout/hierarchy3"/>
    <dgm:cxn modelId="{802767CB-6843-44C9-9B04-AFA82A8654B1}" type="presParOf" srcId="{13D5A3C6-CE80-425E-9D29-FCD90E15EBB7}" destId="{78968974-0E2F-4A16-A541-A70F1C305D38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33200" y="211378"/>
          <a:ext cx="1851243" cy="45730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46594" y="224772"/>
        <a:ext cx="1824455" cy="430516"/>
      </dsp:txXfrm>
    </dsp:sp>
    <dsp:sp modelId="{E401CA66-E0CC-4580-B865-916053515C0A}">
      <dsp:nvSpPr>
        <dsp:cNvPr id="0" name=""/>
        <dsp:cNvSpPr/>
      </dsp:nvSpPr>
      <dsp:spPr>
        <a:xfrm>
          <a:off x="218325" y="668683"/>
          <a:ext cx="109317" cy="1046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012"/>
              </a:lnTo>
              <a:lnTo>
                <a:pt x="109317" y="1046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327642" y="815087"/>
          <a:ext cx="2490113" cy="1799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 baseline="0">
              <a:latin typeface="Sylfaen" pitchFamily="18" charset="0"/>
            </a:rPr>
            <a:t>საქართველოს საწარმოსა და არარეზიდენტ ექსპედიტორულ საწარმოს შორის  გაფორმებული ხელშეკრულების საფუძველზე, არარეზიდენტმა ექსპედიტორულმა საწარმომ კლიენტისათვის უნდა განახორციელოს ტვირთის საფრანგეთიდან თბილისში ჩამოტანა.</a:t>
          </a:r>
          <a:endParaRPr lang="en-US" sz="1000" b="0" kern="1200">
            <a:latin typeface="Sylfaen" pitchFamily="18" charset="0"/>
          </a:endParaRPr>
        </a:p>
      </dsp:txBody>
      <dsp:txXfrm>
        <a:off x="380339" y="867784"/>
        <a:ext cx="2384719" cy="1693823"/>
      </dsp:txXfrm>
    </dsp:sp>
    <dsp:sp modelId="{F1317D2F-48EA-4414-B8C3-0F0DF1020FA4}">
      <dsp:nvSpPr>
        <dsp:cNvPr id="0" name=""/>
        <dsp:cNvSpPr/>
      </dsp:nvSpPr>
      <dsp:spPr>
        <a:xfrm>
          <a:off x="218325" y="668683"/>
          <a:ext cx="119935" cy="2919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419"/>
              </a:lnTo>
              <a:lnTo>
                <a:pt x="119935" y="29194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338260" y="2703592"/>
          <a:ext cx="2506186" cy="1769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არარეზიდენტმა ექსპედიტორმა ფოთიდან თბილისამდე ტვირთის გადმოსატანად დაიქირავა რეზიდენტი ექსპედიტორი, რომელმაც უზრუნველყო ტვირთის ფოთიდან თბილისამდე ტრანსპორტირების ორგანიზება. საქონლის განბაჟება მოხდა თბილისში.</a:t>
          </a:r>
          <a:endParaRPr lang="en-US" sz="1000" kern="1200">
            <a:latin typeface="Sylfaen" pitchFamily="18" charset="0"/>
          </a:endParaRPr>
        </a:p>
      </dsp:txBody>
      <dsp:txXfrm>
        <a:off x="390073" y="2755405"/>
        <a:ext cx="2402560" cy="1665395"/>
      </dsp:txXfrm>
    </dsp:sp>
    <dsp:sp modelId="{6BDC0A78-E0F7-49BA-94F7-90F8325464B0}">
      <dsp:nvSpPr>
        <dsp:cNvPr id="0" name=""/>
        <dsp:cNvSpPr/>
      </dsp:nvSpPr>
      <dsp:spPr>
        <a:xfrm>
          <a:off x="218325" y="668683"/>
          <a:ext cx="182173" cy="497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3772"/>
              </a:lnTo>
              <a:lnTo>
                <a:pt x="182173" y="4973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400498" y="4569568"/>
          <a:ext cx="2395712" cy="21457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საქართველოს რეზიდენტი ექსპედიტორული საწარმოს მიერ არარეზიდენტი საწარმოსათვის მომსახურება გაწეულ იქნა: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I-</a:t>
          </a:r>
          <a:r>
            <a:rPr lang="ka-GE" sz="1000" kern="1200">
              <a:latin typeface="Sylfaen" pitchFamily="18" charset="0"/>
            </a:rPr>
            <a:t> 2006 წლის 1 ივნისამდე;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II</a:t>
          </a:r>
          <a:r>
            <a:rPr lang="ka-GE" sz="1000" kern="1200">
              <a:latin typeface="Sylfaen" pitchFamily="18" charset="0"/>
            </a:rPr>
            <a:t>- 2006  წლის 1 ივნისიდან 2011 წლის 1 იანვრამდე;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III</a:t>
          </a:r>
          <a:r>
            <a:rPr lang="ka-GE" sz="1000" kern="1200">
              <a:latin typeface="Sylfaen" pitchFamily="18" charset="0"/>
            </a:rPr>
            <a:t> - 2011 წლის 1 იანვრიდან 2011 წლის 20 მაისამდე;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IV</a:t>
          </a:r>
          <a:r>
            <a:rPr lang="ru-RU" sz="1000" kern="1200">
              <a:latin typeface="Sylfaen" pitchFamily="18" charset="0"/>
            </a:rPr>
            <a:t> - 2011 </a:t>
          </a:r>
          <a:r>
            <a:rPr lang="ka-GE" sz="1000" kern="1200">
              <a:latin typeface="Sylfaen" pitchFamily="18" charset="0"/>
            </a:rPr>
            <a:t>წლის 20 მაისის შემდგომ საანგარიშო პერიოდში</a:t>
          </a:r>
          <a:endParaRPr lang="en-US" sz="1000" kern="1200">
            <a:latin typeface="Sylfaen" pitchFamily="18" charset="0"/>
          </a:endParaRPr>
        </a:p>
      </dsp:txBody>
      <dsp:txXfrm>
        <a:off x="463346" y="4632416"/>
        <a:ext cx="2270016" cy="2020078"/>
      </dsp:txXfrm>
    </dsp:sp>
    <dsp:sp modelId="{05535EEA-AF24-4D00-970F-61BCA10C7B8D}">
      <dsp:nvSpPr>
        <dsp:cNvPr id="0" name=""/>
        <dsp:cNvSpPr/>
      </dsp:nvSpPr>
      <dsp:spPr>
        <a:xfrm>
          <a:off x="218325" y="668683"/>
          <a:ext cx="169854" cy="6906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6280"/>
              </a:lnTo>
              <a:lnTo>
                <a:pt x="169854" y="6906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388179" y="6815068"/>
          <a:ext cx="2364236" cy="15197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საქართველოს რეზიდენტი ექსპედიტორული საწარმოს მიერ არარეზიდენტი საწარმოსთვის გაწეული მომსახურება მიჩნეული იქნა საერთაშორისო გადაზიდვის შემადგენელ ნაწილად და დაბეგრა დღგ-ის ნულოვანი განაკვეთით.</a:t>
          </a:r>
          <a:endParaRPr lang="en-US" sz="1000" kern="1200">
            <a:latin typeface="Sylfaen" pitchFamily="18" charset="0"/>
          </a:endParaRPr>
        </a:p>
      </dsp:txBody>
      <dsp:txXfrm>
        <a:off x="432692" y="6859581"/>
        <a:ext cx="2275210" cy="1430763"/>
      </dsp:txXfrm>
    </dsp:sp>
    <dsp:sp modelId="{CCF1B5AD-441C-4182-AB14-F5EBF8654620}">
      <dsp:nvSpPr>
        <dsp:cNvPr id="0" name=""/>
        <dsp:cNvSpPr/>
      </dsp:nvSpPr>
      <dsp:spPr>
        <a:xfrm>
          <a:off x="2751780" y="0"/>
          <a:ext cx="2054656" cy="44743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764885" y="13105"/>
        <a:ext cx="2028446" cy="421221"/>
      </dsp:txXfrm>
    </dsp:sp>
    <dsp:sp modelId="{584661F5-5507-495B-A407-8A7C5FB47BFB}">
      <dsp:nvSpPr>
        <dsp:cNvPr id="0" name=""/>
        <dsp:cNvSpPr/>
      </dsp:nvSpPr>
      <dsp:spPr>
        <a:xfrm>
          <a:off x="2957246" y="447431"/>
          <a:ext cx="249453" cy="1149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808"/>
              </a:lnTo>
              <a:lnTo>
                <a:pt x="249453" y="1149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3206699" y="786942"/>
          <a:ext cx="1864054" cy="16205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</a:t>
          </a:r>
          <a:r>
            <a:rPr lang="ka-GE" sz="1000" kern="1200">
              <a:latin typeface="Sylfaen" pitchFamily="18" charset="0"/>
            </a:rPr>
            <a:t>  და </a:t>
          </a:r>
          <a:r>
            <a:rPr lang="en-US" sz="1000" kern="1200">
              <a:latin typeface="Sylfaen" pitchFamily="18" charset="0"/>
            </a:rPr>
            <a:t>III</a:t>
          </a:r>
          <a:r>
            <a:rPr lang="ka-GE" sz="1000" kern="1200">
              <a:latin typeface="Sylfaen" pitchFamily="18" charset="0"/>
            </a:rPr>
            <a:t>  ვარიანტი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აღნიშნულ პერიოდში მოქმედი სსკ-ის გათვალისწინებით, რეზიდენტი ექსპედიტორული საწარმოს მომსახურება უნდა დაბეგრილიყო  დღგ-ის    18%-იანი განაკვეთით </a:t>
          </a:r>
          <a:endParaRPr lang="en-US" sz="1000" kern="1200">
            <a:latin typeface="Sylfaen" pitchFamily="18" charset="0"/>
          </a:endParaRPr>
        </a:p>
      </dsp:txBody>
      <dsp:txXfrm>
        <a:off x="3254165" y="834408"/>
        <a:ext cx="1769122" cy="1525662"/>
      </dsp:txXfrm>
    </dsp:sp>
    <dsp:sp modelId="{5873286C-BE2C-4BDC-AB7F-83A56B85C3BA}">
      <dsp:nvSpPr>
        <dsp:cNvPr id="0" name=""/>
        <dsp:cNvSpPr/>
      </dsp:nvSpPr>
      <dsp:spPr>
        <a:xfrm>
          <a:off x="2957246" y="447431"/>
          <a:ext cx="281117" cy="3384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4089"/>
              </a:lnTo>
              <a:lnTo>
                <a:pt x="281117" y="3384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3238364" y="2638374"/>
          <a:ext cx="1886784" cy="2386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  <a:latin typeface="Sylfaen" pitchFamily="18" charset="0"/>
            </a:rPr>
            <a:t>II</a:t>
          </a: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  და </a:t>
          </a:r>
          <a:r>
            <a:rPr lang="en-US" sz="1000" kern="1200">
              <a:solidFill>
                <a:schemeClr val="tx1"/>
              </a:solidFill>
              <a:latin typeface="Sylfaen" pitchFamily="18" charset="0"/>
            </a:rPr>
            <a:t> IV</a:t>
          </a: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  ვარიანტი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აღნიშნულ პერიოდში მოქმედი სსკ-ის გათვალისწინებით, მომსახურება უნდა განხილულიყო საერთაშორისო გადაზიდვის შემადგენელ ნაწილად და რეზიდენტი ექსპედიტორული საწარმოს ოპერაცია უნდა დაბეგრილიყო დღგ-ის ნულოვანი განაკვეთით.</a:t>
          </a:r>
          <a:endParaRPr lang="en-US" sz="1000" kern="1200">
            <a:solidFill>
              <a:schemeClr val="tx1"/>
            </a:solidFill>
            <a:latin typeface="Sylfaen" pitchFamily="18" charset="0"/>
          </a:endParaRPr>
        </a:p>
      </dsp:txBody>
      <dsp:txXfrm>
        <a:off x="3293626" y="2693636"/>
        <a:ext cx="1776260" cy="2275768"/>
      </dsp:txXfrm>
    </dsp:sp>
    <dsp:sp modelId="{A52CC481-1E94-45D5-998C-116D7F06F43C}">
      <dsp:nvSpPr>
        <dsp:cNvPr id="0" name=""/>
        <dsp:cNvSpPr/>
      </dsp:nvSpPr>
      <dsp:spPr>
        <a:xfrm>
          <a:off x="5206121" y="211378"/>
          <a:ext cx="1891748" cy="45487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19444" y="224701"/>
        <a:ext cx="1865102" cy="428232"/>
      </dsp:txXfrm>
    </dsp:sp>
    <dsp:sp modelId="{EE9D00C4-D2C7-4FC5-8294-1E69973FB5F8}">
      <dsp:nvSpPr>
        <dsp:cNvPr id="0" name=""/>
        <dsp:cNvSpPr/>
      </dsp:nvSpPr>
      <dsp:spPr>
        <a:xfrm>
          <a:off x="5395296" y="666256"/>
          <a:ext cx="112403" cy="933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173"/>
              </a:lnTo>
              <a:lnTo>
                <a:pt x="112403" y="9331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07699" y="777052"/>
          <a:ext cx="1788200" cy="164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Sylfaen" pitchFamily="18" charset="0"/>
            </a:rPr>
            <a:t>I </a:t>
          </a:r>
          <a:r>
            <a:rPr lang="ka-GE" sz="1000" b="0" i="0" kern="1200">
              <a:latin typeface="Sylfaen" pitchFamily="18" charset="0"/>
            </a:rPr>
            <a:t>  </a:t>
          </a:r>
          <a:r>
            <a:rPr lang="en-US" sz="1000" b="0" i="0" kern="1200">
              <a:latin typeface="Sylfaen" pitchFamily="18" charset="0"/>
            </a:rPr>
            <a:t> </a:t>
          </a:r>
          <a:r>
            <a:rPr lang="ka-GE" sz="1000" b="0" i="0" kern="1200">
              <a:latin typeface="Sylfaen" pitchFamily="18" charset="0"/>
            </a:rPr>
            <a:t>და </a:t>
          </a:r>
          <a:r>
            <a:rPr lang="en-US" sz="1000" b="0" i="0" kern="1200">
              <a:latin typeface="Sylfaen" pitchFamily="18" charset="0"/>
            </a:rPr>
            <a:t>III</a:t>
          </a:r>
          <a:r>
            <a:rPr lang="ka-GE" sz="1000" b="0" i="0" kern="1200">
              <a:latin typeface="Sylfaen" pitchFamily="18" charset="0"/>
            </a:rPr>
            <a:t> 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i="0" kern="1200">
              <a:latin typeface="Sylfaen" pitchFamily="18" charset="0"/>
            </a:rPr>
            <a:t>მოცემული გარემოებების გათვალისწინებით, უნდა განხორციელდეს დასაბეგრი მოგებისა და დღგ-ის ბრუნვის გადაანგარიშება</a:t>
          </a:r>
          <a:endParaRPr lang="en-US" sz="1000" b="0" i="0" kern="1200">
            <a:latin typeface="Sylfaen" pitchFamily="18" charset="0"/>
          </a:endParaRPr>
        </a:p>
      </dsp:txBody>
      <dsp:txXfrm>
        <a:off x="5555872" y="825225"/>
        <a:ext cx="1691854" cy="1548408"/>
      </dsp:txXfrm>
    </dsp:sp>
    <dsp:sp modelId="{6A4A5C1A-F165-419D-AF4E-5B55115246BA}">
      <dsp:nvSpPr>
        <dsp:cNvPr id="0" name=""/>
        <dsp:cNvSpPr/>
      </dsp:nvSpPr>
      <dsp:spPr>
        <a:xfrm>
          <a:off x="5395296" y="666256"/>
          <a:ext cx="127230" cy="2677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7065"/>
              </a:lnTo>
              <a:lnTo>
                <a:pt x="127230" y="2677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22526" y="2607410"/>
          <a:ext cx="1907238" cy="147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</a:t>
          </a:r>
          <a:r>
            <a:rPr lang="ka-GE" sz="1000" kern="1200">
              <a:latin typeface="Sylfaen" pitchFamily="18" charset="0"/>
            </a:rPr>
            <a:t>  და </a:t>
          </a:r>
          <a:r>
            <a:rPr lang="en-US" sz="1000" kern="1200">
              <a:latin typeface="Sylfaen" pitchFamily="18" charset="0"/>
            </a:rPr>
            <a:t>III</a:t>
          </a:r>
          <a:r>
            <a:rPr lang="ka-GE" sz="1000" kern="1200">
              <a:latin typeface="Sylfaen" pitchFamily="18" charset="0"/>
            </a:rPr>
            <a:t> 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დეკლარაციაში გადასახადის  შემცირების შემთხვევაში ექსპედიტორული საწარმო დაჯარიმდება სსკ-ის 275-ე    (ან ძვ. 132-ე) მუხლის შესაბამისად.</a:t>
          </a:r>
          <a:endParaRPr lang="en-US" sz="1000" kern="1200">
            <a:latin typeface="Sylfaen" pitchFamily="18" charset="0"/>
          </a:endParaRPr>
        </a:p>
      </dsp:txBody>
      <dsp:txXfrm>
        <a:off x="5565634" y="2650518"/>
        <a:ext cx="1821022" cy="1385606"/>
      </dsp:txXfrm>
    </dsp:sp>
    <dsp:sp modelId="{7EBAE34D-0F70-4AFD-A437-4FDD7AACB40A}">
      <dsp:nvSpPr>
        <dsp:cNvPr id="0" name=""/>
        <dsp:cNvSpPr/>
      </dsp:nvSpPr>
      <dsp:spPr>
        <a:xfrm>
          <a:off x="5349576" y="666256"/>
          <a:ext cx="91440" cy="4505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05168"/>
              </a:lnTo>
              <a:lnTo>
                <a:pt x="93439" y="4505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68974-0E2F-4A16-A541-A70F1C305D38}">
      <dsp:nvSpPr>
        <dsp:cNvPr id="0" name=""/>
        <dsp:cNvSpPr/>
      </dsp:nvSpPr>
      <dsp:spPr>
        <a:xfrm>
          <a:off x="5443015" y="4328218"/>
          <a:ext cx="2062684" cy="1686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II</a:t>
          </a:r>
          <a:r>
            <a:rPr lang="ka-GE" sz="1000" kern="1200">
              <a:latin typeface="Sylfaen" pitchFamily="18" charset="0"/>
            </a:rPr>
            <a:t> </a:t>
          </a:r>
          <a:r>
            <a:rPr lang="en-US" sz="1000" kern="1200">
              <a:latin typeface="Sylfaen" pitchFamily="18" charset="0"/>
            </a:rPr>
            <a:t> </a:t>
          </a:r>
          <a:r>
            <a:rPr lang="ka-GE" sz="1000" kern="1200">
              <a:latin typeface="Sylfaen" pitchFamily="18" charset="0"/>
            </a:rPr>
            <a:t> და </a:t>
          </a:r>
          <a:r>
            <a:rPr lang="en-US" sz="1000" kern="1200">
              <a:latin typeface="Sylfaen" pitchFamily="18" charset="0"/>
            </a:rPr>
            <a:t>IV</a:t>
          </a:r>
          <a:r>
            <a:rPr lang="ka-GE" sz="1000" kern="1200">
              <a:latin typeface="Sylfaen" pitchFamily="18" charset="0"/>
            </a:rPr>
            <a:t> ვარიანტში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საგადასახადო სამართალდარღვევა  არ იკვეთება და დამატებითი  საგადასახადო ვალდებულების დაკისრება არ ხდება </a:t>
          </a:r>
          <a:endParaRPr lang="en-US" sz="1000" kern="1200">
            <a:latin typeface="Sylfaen" pitchFamily="18" charset="0"/>
          </a:endParaRPr>
        </a:p>
      </dsp:txBody>
      <dsp:txXfrm>
        <a:off x="5492408" y="4377611"/>
        <a:ext cx="1963898" cy="1587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E9-AC31-4B4D-9F13-C3A71D1C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12</cp:revision>
  <cp:lastPrinted>2012-07-19T14:27:00Z</cp:lastPrinted>
  <dcterms:created xsi:type="dcterms:W3CDTF">2013-09-20T06:56:00Z</dcterms:created>
  <dcterms:modified xsi:type="dcterms:W3CDTF">2013-09-20T07:19:00Z</dcterms:modified>
</cp:coreProperties>
</file>