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A" w:rsidRPr="002B5AA1" w:rsidRDefault="001B47F9" w:rsidP="002B5AA1">
      <w:pPr>
        <w:ind w:left="-1260"/>
      </w:pPr>
      <w:r w:rsidRPr="001B47F9">
        <w:rPr>
          <w:noProof/>
        </w:rPr>
        <w:drawing>
          <wp:inline distT="0" distB="0" distL="0" distR="0">
            <wp:extent cx="7501912" cy="6894786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A8408A">
        <w:tab/>
      </w:r>
      <w:r w:rsidR="00A8408A">
        <w:rPr>
          <w:rFonts w:ascii="AcadNusx" w:hAnsi="AcadNusx"/>
          <w:b/>
          <w:i/>
          <w:color w:val="000000" w:themeColor="text1"/>
          <w:sz w:val="18"/>
          <w:szCs w:val="18"/>
        </w:rPr>
        <w:t xml:space="preserve"> </w:t>
      </w:r>
    </w:p>
    <w:p w:rsidR="00975567" w:rsidRDefault="00664C97" w:rsidP="00A8408A">
      <w:pPr>
        <w:tabs>
          <w:tab w:val="left" w:pos="2738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975567" w:rsidRDefault="00975567" w:rsidP="00975567">
      <w:pPr>
        <w:rPr>
          <w:rFonts w:ascii="Sylfaen" w:hAnsi="Sylfaen"/>
          <w:lang w:val="ka-GE"/>
        </w:rPr>
      </w:pPr>
    </w:p>
    <w:p w:rsidR="00975567" w:rsidRPr="00975567" w:rsidRDefault="00975567" w:rsidP="00975567">
      <w:pPr>
        <w:pStyle w:val="Footer"/>
        <w:pBdr>
          <w:top w:val="single" w:sz="4" w:space="1" w:color="A5A5A5" w:themeColor="background1" w:themeShade="A5"/>
        </w:pBdr>
        <w:jc w:val="center"/>
        <w:rPr>
          <w:rFonts w:ascii="Sylfaen" w:hAnsi="Sylfaen"/>
          <w:b/>
          <w:i/>
          <w:color w:val="000000" w:themeColor="text1"/>
          <w:lang w:val="ka-GE"/>
        </w:rPr>
      </w:pPr>
      <w:r>
        <w:rPr>
          <w:rFonts w:ascii="Sylfaen" w:hAnsi="Sylfaen"/>
          <w:lang w:val="ka-GE"/>
        </w:rPr>
        <w:tab/>
      </w:r>
      <w:r w:rsidRPr="00975567">
        <w:rPr>
          <w:rFonts w:ascii="AcadNusx" w:hAnsi="AcadNusx"/>
          <w:b/>
          <w:i/>
          <w:color w:val="000000" w:themeColor="text1"/>
          <w:sz w:val="16"/>
          <w:szCs w:val="16"/>
          <w:lang w:val="ka-GE"/>
        </w:rPr>
        <w:t xml:space="preserve">saxelmZRvanelo damtkicebulia 2012 wlis </w:t>
      </w:r>
      <w:r w:rsidR="00F55D35" w:rsidRPr="00F55D35">
        <w:rPr>
          <w:rFonts w:ascii="AcadNusx" w:hAnsi="AcadNusx"/>
          <w:b/>
          <w:i/>
          <w:color w:val="000000" w:themeColor="text1"/>
          <w:sz w:val="16"/>
          <w:szCs w:val="16"/>
          <w:lang w:val="ka-GE"/>
        </w:rPr>
        <w:t xml:space="preserve">20 </w:t>
      </w:r>
      <w:r w:rsidRPr="00975567">
        <w:rPr>
          <w:rFonts w:ascii="AcadNusx" w:hAnsi="AcadNusx"/>
          <w:b/>
          <w:i/>
          <w:color w:val="000000" w:themeColor="text1"/>
          <w:sz w:val="16"/>
          <w:szCs w:val="16"/>
          <w:lang w:val="ka-GE"/>
        </w:rPr>
        <w:t>ivnisisaTvis moqmedi sagadasaxado kanonmdeblobis mixedviT</w:t>
      </w:r>
    </w:p>
    <w:p w:rsidR="00975567" w:rsidRPr="00975567" w:rsidRDefault="00975567" w:rsidP="00975567">
      <w:pPr>
        <w:tabs>
          <w:tab w:val="left" w:pos="3707"/>
        </w:tabs>
        <w:rPr>
          <w:rFonts w:ascii="Sylfaen" w:hAnsi="Sylfaen"/>
          <w:lang w:val="ka-GE"/>
        </w:rPr>
      </w:pPr>
      <w:bookmarkStart w:id="0" w:name="_GoBack"/>
      <w:bookmarkEnd w:id="0"/>
    </w:p>
    <w:sectPr w:rsidR="00975567" w:rsidRPr="00975567" w:rsidSect="005B081E">
      <w:headerReference w:type="default" r:id="rId13"/>
      <w:pgSz w:w="12240" w:h="15840"/>
      <w:pgMar w:top="1530" w:right="360" w:bottom="27" w:left="1440" w:header="9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DB" w:rsidRDefault="00117DDB" w:rsidP="00F92800">
      <w:pPr>
        <w:spacing w:after="0" w:line="240" w:lineRule="auto"/>
      </w:pPr>
      <w:r>
        <w:separator/>
      </w:r>
    </w:p>
  </w:endnote>
  <w:endnote w:type="continuationSeparator" w:id="0">
    <w:p w:rsidR="00117DDB" w:rsidRDefault="00117DDB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DB" w:rsidRDefault="00117DDB" w:rsidP="00F92800">
      <w:pPr>
        <w:spacing w:after="0" w:line="240" w:lineRule="auto"/>
      </w:pPr>
      <w:r>
        <w:separator/>
      </w:r>
    </w:p>
  </w:footnote>
  <w:footnote w:type="continuationSeparator" w:id="0">
    <w:p w:rsidR="00117DDB" w:rsidRDefault="00117DDB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</w:p>
  <w:p w:rsidR="00F356C4" w:rsidRDefault="00F356C4" w:rsidP="001B47F9">
    <w:pPr>
      <w:pStyle w:val="Header"/>
      <w:jc w:val="center"/>
      <w:rPr>
        <w:rFonts w:ascii="Sylfaen" w:hAnsi="Sylfaen"/>
        <w:b/>
        <w:sz w:val="26"/>
        <w:szCs w:val="26"/>
        <w:lang w:val="ka-GE"/>
      </w:rPr>
    </w:pPr>
    <w:r>
      <w:rPr>
        <w:rFonts w:ascii="Sylfaen" w:hAnsi="Sylfaen"/>
        <w:b/>
        <w:sz w:val="26"/>
        <w:szCs w:val="26"/>
        <w:lang w:val="ka-GE"/>
      </w:rPr>
      <w:t>დამფუძნებ</w:t>
    </w:r>
    <w:r w:rsidR="00993963">
      <w:rPr>
        <w:rFonts w:ascii="Sylfaen" w:hAnsi="Sylfaen"/>
        <w:b/>
        <w:sz w:val="26"/>
        <w:szCs w:val="26"/>
        <w:lang w:val="ka-GE"/>
      </w:rPr>
      <w:t>ლ</w:t>
    </w:r>
    <w:r>
      <w:rPr>
        <w:rFonts w:ascii="Sylfaen" w:hAnsi="Sylfaen"/>
        <w:b/>
        <w:sz w:val="26"/>
        <w:szCs w:val="26"/>
        <w:lang w:val="ka-GE"/>
      </w:rPr>
      <w:t xml:space="preserve">ისთვის ზედმეტად გადახდილი თანხის </w:t>
    </w:r>
  </w:p>
  <w:p w:rsidR="005B081E" w:rsidRPr="00A168BD" w:rsidRDefault="00F356C4" w:rsidP="001B47F9">
    <w:pPr>
      <w:pStyle w:val="Header"/>
      <w:jc w:val="center"/>
      <w:rPr>
        <w:rFonts w:ascii="Sylfaen" w:hAnsi="Sylfaen"/>
        <w:b/>
        <w:sz w:val="26"/>
        <w:szCs w:val="26"/>
      </w:rPr>
    </w:pPr>
    <w:r>
      <w:rPr>
        <w:rFonts w:ascii="Sylfaen" w:hAnsi="Sylfaen"/>
        <w:b/>
        <w:sz w:val="26"/>
        <w:szCs w:val="26"/>
        <w:lang w:val="ka-GE"/>
      </w:rPr>
      <w:t>დაბეგვრა</w:t>
    </w:r>
    <w:r w:rsidR="00A168BD">
      <w:rPr>
        <w:rFonts w:ascii="Sylfaen" w:hAnsi="Sylfaen"/>
        <w:b/>
        <w:sz w:val="26"/>
        <w:szCs w:val="26"/>
      </w:rPr>
      <w:t xml:space="preserve"> 0110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2800"/>
    <w:rsid w:val="00000F3F"/>
    <w:rsid w:val="00022B67"/>
    <w:rsid w:val="0002558E"/>
    <w:rsid w:val="000622A9"/>
    <w:rsid w:val="000648AD"/>
    <w:rsid w:val="00067F27"/>
    <w:rsid w:val="0007026C"/>
    <w:rsid w:val="000A7C1E"/>
    <w:rsid w:val="000B66A4"/>
    <w:rsid w:val="000C567D"/>
    <w:rsid w:val="000D481A"/>
    <w:rsid w:val="000D6E3F"/>
    <w:rsid w:val="000E1460"/>
    <w:rsid w:val="000F175E"/>
    <w:rsid w:val="000F4CD0"/>
    <w:rsid w:val="00105ACF"/>
    <w:rsid w:val="00117DDB"/>
    <w:rsid w:val="001206FF"/>
    <w:rsid w:val="0012104E"/>
    <w:rsid w:val="00122098"/>
    <w:rsid w:val="00126FB3"/>
    <w:rsid w:val="0012755A"/>
    <w:rsid w:val="0014485E"/>
    <w:rsid w:val="00150FC3"/>
    <w:rsid w:val="00156382"/>
    <w:rsid w:val="00160DD6"/>
    <w:rsid w:val="0016343F"/>
    <w:rsid w:val="0016544F"/>
    <w:rsid w:val="0018363B"/>
    <w:rsid w:val="00187D07"/>
    <w:rsid w:val="001B47F9"/>
    <w:rsid w:val="001C4629"/>
    <w:rsid w:val="001E6766"/>
    <w:rsid w:val="001F311F"/>
    <w:rsid w:val="0020605F"/>
    <w:rsid w:val="00211652"/>
    <w:rsid w:val="00216FEE"/>
    <w:rsid w:val="0022319E"/>
    <w:rsid w:val="00223975"/>
    <w:rsid w:val="002435B3"/>
    <w:rsid w:val="002446D0"/>
    <w:rsid w:val="00254A4D"/>
    <w:rsid w:val="002600D7"/>
    <w:rsid w:val="002618B6"/>
    <w:rsid w:val="00282AC3"/>
    <w:rsid w:val="00283303"/>
    <w:rsid w:val="00286AB9"/>
    <w:rsid w:val="0029165A"/>
    <w:rsid w:val="00293BC3"/>
    <w:rsid w:val="00297BFD"/>
    <w:rsid w:val="002B5AA1"/>
    <w:rsid w:val="002D5A71"/>
    <w:rsid w:val="002E12C1"/>
    <w:rsid w:val="002F6E84"/>
    <w:rsid w:val="00301B36"/>
    <w:rsid w:val="0031122A"/>
    <w:rsid w:val="00313CBA"/>
    <w:rsid w:val="00315F63"/>
    <w:rsid w:val="00325688"/>
    <w:rsid w:val="00327EC0"/>
    <w:rsid w:val="003365F8"/>
    <w:rsid w:val="00336D6F"/>
    <w:rsid w:val="00337CA7"/>
    <w:rsid w:val="00340636"/>
    <w:rsid w:val="003604D7"/>
    <w:rsid w:val="0036212E"/>
    <w:rsid w:val="00376A1A"/>
    <w:rsid w:val="00384E72"/>
    <w:rsid w:val="003B0BC3"/>
    <w:rsid w:val="003B1D3F"/>
    <w:rsid w:val="003B79AA"/>
    <w:rsid w:val="003C5826"/>
    <w:rsid w:val="003D56E5"/>
    <w:rsid w:val="003E1501"/>
    <w:rsid w:val="003F1607"/>
    <w:rsid w:val="003F2C7A"/>
    <w:rsid w:val="003F76C5"/>
    <w:rsid w:val="00410AF4"/>
    <w:rsid w:val="004137C9"/>
    <w:rsid w:val="0042626F"/>
    <w:rsid w:val="00443688"/>
    <w:rsid w:val="0046265F"/>
    <w:rsid w:val="00462F4D"/>
    <w:rsid w:val="00477EB3"/>
    <w:rsid w:val="004864BC"/>
    <w:rsid w:val="00486C80"/>
    <w:rsid w:val="004913E2"/>
    <w:rsid w:val="0049604D"/>
    <w:rsid w:val="004B1A81"/>
    <w:rsid w:val="00506857"/>
    <w:rsid w:val="00521AFF"/>
    <w:rsid w:val="00522B27"/>
    <w:rsid w:val="00540233"/>
    <w:rsid w:val="005519E7"/>
    <w:rsid w:val="00553614"/>
    <w:rsid w:val="00555A56"/>
    <w:rsid w:val="00562C8E"/>
    <w:rsid w:val="00577107"/>
    <w:rsid w:val="0058473B"/>
    <w:rsid w:val="005A3014"/>
    <w:rsid w:val="005B081E"/>
    <w:rsid w:val="005B15F4"/>
    <w:rsid w:val="005D373C"/>
    <w:rsid w:val="005D3947"/>
    <w:rsid w:val="005D3C2D"/>
    <w:rsid w:val="00600020"/>
    <w:rsid w:val="00602386"/>
    <w:rsid w:val="00605657"/>
    <w:rsid w:val="00606D4F"/>
    <w:rsid w:val="006132D2"/>
    <w:rsid w:val="006139EA"/>
    <w:rsid w:val="00616699"/>
    <w:rsid w:val="006212CD"/>
    <w:rsid w:val="00621A7A"/>
    <w:rsid w:val="00621AE3"/>
    <w:rsid w:val="006373DA"/>
    <w:rsid w:val="006420AE"/>
    <w:rsid w:val="00660185"/>
    <w:rsid w:val="00664C97"/>
    <w:rsid w:val="00673C16"/>
    <w:rsid w:val="00674138"/>
    <w:rsid w:val="00682EC9"/>
    <w:rsid w:val="00684158"/>
    <w:rsid w:val="0068428A"/>
    <w:rsid w:val="00694DAA"/>
    <w:rsid w:val="006B3A7A"/>
    <w:rsid w:val="006B4BA0"/>
    <w:rsid w:val="006C61E9"/>
    <w:rsid w:val="006C7C44"/>
    <w:rsid w:val="006E248D"/>
    <w:rsid w:val="006F7ECF"/>
    <w:rsid w:val="00702314"/>
    <w:rsid w:val="00704A32"/>
    <w:rsid w:val="007053C7"/>
    <w:rsid w:val="0071700E"/>
    <w:rsid w:val="00735020"/>
    <w:rsid w:val="00737D44"/>
    <w:rsid w:val="007429EC"/>
    <w:rsid w:val="00742D76"/>
    <w:rsid w:val="007432AD"/>
    <w:rsid w:val="00760BCB"/>
    <w:rsid w:val="0076561D"/>
    <w:rsid w:val="00767220"/>
    <w:rsid w:val="00771BC6"/>
    <w:rsid w:val="00771D1E"/>
    <w:rsid w:val="00773169"/>
    <w:rsid w:val="0077568F"/>
    <w:rsid w:val="00777031"/>
    <w:rsid w:val="0077724D"/>
    <w:rsid w:val="0078613C"/>
    <w:rsid w:val="00790AD7"/>
    <w:rsid w:val="00796847"/>
    <w:rsid w:val="007B370E"/>
    <w:rsid w:val="007B3A1B"/>
    <w:rsid w:val="007B5B7E"/>
    <w:rsid w:val="007C3924"/>
    <w:rsid w:val="007F0614"/>
    <w:rsid w:val="007F16E5"/>
    <w:rsid w:val="007F2D01"/>
    <w:rsid w:val="007F6292"/>
    <w:rsid w:val="008162E2"/>
    <w:rsid w:val="008243AF"/>
    <w:rsid w:val="00842228"/>
    <w:rsid w:val="00845BBA"/>
    <w:rsid w:val="00854DDA"/>
    <w:rsid w:val="00881C41"/>
    <w:rsid w:val="00893650"/>
    <w:rsid w:val="00896E5E"/>
    <w:rsid w:val="00896FBE"/>
    <w:rsid w:val="008B20F0"/>
    <w:rsid w:val="008B6C18"/>
    <w:rsid w:val="008C6337"/>
    <w:rsid w:val="008D0D22"/>
    <w:rsid w:val="008D41AF"/>
    <w:rsid w:val="008D52B3"/>
    <w:rsid w:val="00914044"/>
    <w:rsid w:val="0093161F"/>
    <w:rsid w:val="00950B41"/>
    <w:rsid w:val="0095282C"/>
    <w:rsid w:val="00953B4C"/>
    <w:rsid w:val="00953CC5"/>
    <w:rsid w:val="00957D64"/>
    <w:rsid w:val="009639E8"/>
    <w:rsid w:val="0096486E"/>
    <w:rsid w:val="00975567"/>
    <w:rsid w:val="00993963"/>
    <w:rsid w:val="009A26C0"/>
    <w:rsid w:val="009B049E"/>
    <w:rsid w:val="009B39D6"/>
    <w:rsid w:val="009E6A2D"/>
    <w:rsid w:val="009E7494"/>
    <w:rsid w:val="00A167C0"/>
    <w:rsid w:val="00A168BD"/>
    <w:rsid w:val="00A64B1D"/>
    <w:rsid w:val="00A65210"/>
    <w:rsid w:val="00A8408A"/>
    <w:rsid w:val="00AA5E93"/>
    <w:rsid w:val="00AD5670"/>
    <w:rsid w:val="00AE5F1A"/>
    <w:rsid w:val="00AF7E2B"/>
    <w:rsid w:val="00B0402D"/>
    <w:rsid w:val="00B15FFE"/>
    <w:rsid w:val="00B22880"/>
    <w:rsid w:val="00B3488B"/>
    <w:rsid w:val="00B36F73"/>
    <w:rsid w:val="00B37A99"/>
    <w:rsid w:val="00B56E57"/>
    <w:rsid w:val="00B91EAA"/>
    <w:rsid w:val="00BA682D"/>
    <w:rsid w:val="00BC3391"/>
    <w:rsid w:val="00BC407B"/>
    <w:rsid w:val="00BD5B31"/>
    <w:rsid w:val="00BE2185"/>
    <w:rsid w:val="00BE3393"/>
    <w:rsid w:val="00BE4D7D"/>
    <w:rsid w:val="00BE4FB0"/>
    <w:rsid w:val="00BE65CB"/>
    <w:rsid w:val="00C25317"/>
    <w:rsid w:val="00C340E0"/>
    <w:rsid w:val="00C43CAA"/>
    <w:rsid w:val="00C44B02"/>
    <w:rsid w:val="00C56BAC"/>
    <w:rsid w:val="00C573ED"/>
    <w:rsid w:val="00C8087A"/>
    <w:rsid w:val="00C84CE3"/>
    <w:rsid w:val="00CA4EE9"/>
    <w:rsid w:val="00CC3805"/>
    <w:rsid w:val="00D028B8"/>
    <w:rsid w:val="00D06AA6"/>
    <w:rsid w:val="00D10240"/>
    <w:rsid w:val="00D12791"/>
    <w:rsid w:val="00D158DC"/>
    <w:rsid w:val="00D33FAE"/>
    <w:rsid w:val="00D359B1"/>
    <w:rsid w:val="00D3761D"/>
    <w:rsid w:val="00D41BF1"/>
    <w:rsid w:val="00D52211"/>
    <w:rsid w:val="00D53A7E"/>
    <w:rsid w:val="00D713C3"/>
    <w:rsid w:val="00D849AF"/>
    <w:rsid w:val="00DA15CB"/>
    <w:rsid w:val="00DB38C5"/>
    <w:rsid w:val="00DB7BDB"/>
    <w:rsid w:val="00DE0F11"/>
    <w:rsid w:val="00E22B2B"/>
    <w:rsid w:val="00E32258"/>
    <w:rsid w:val="00E339CA"/>
    <w:rsid w:val="00E45054"/>
    <w:rsid w:val="00E55ED1"/>
    <w:rsid w:val="00E62775"/>
    <w:rsid w:val="00E911D3"/>
    <w:rsid w:val="00E9351D"/>
    <w:rsid w:val="00E97C21"/>
    <w:rsid w:val="00EB31ED"/>
    <w:rsid w:val="00EB51AE"/>
    <w:rsid w:val="00EC55F1"/>
    <w:rsid w:val="00EE36B1"/>
    <w:rsid w:val="00EE6315"/>
    <w:rsid w:val="00EF3C3A"/>
    <w:rsid w:val="00F10EA5"/>
    <w:rsid w:val="00F12ECF"/>
    <w:rsid w:val="00F22477"/>
    <w:rsid w:val="00F356C4"/>
    <w:rsid w:val="00F362CC"/>
    <w:rsid w:val="00F37010"/>
    <w:rsid w:val="00F4710F"/>
    <w:rsid w:val="00F47486"/>
    <w:rsid w:val="00F5323D"/>
    <w:rsid w:val="00F55D35"/>
    <w:rsid w:val="00F64EC7"/>
    <w:rsid w:val="00F71B68"/>
    <w:rsid w:val="00F72240"/>
    <w:rsid w:val="00F82E31"/>
    <w:rsid w:val="00F92800"/>
    <w:rsid w:val="00F92C0E"/>
    <w:rsid w:val="00F93C4F"/>
    <w:rsid w:val="00FB68D5"/>
    <w:rsid w:val="00FC1E94"/>
    <w:rsid w:val="00FC67D3"/>
    <w:rsid w:val="00FD12C5"/>
    <w:rsid w:val="00FD3A66"/>
    <w:rsid w:val="00FE0B5B"/>
    <w:rsid w:val="00FE7B27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faqtobrivi garemoebebi</a:t>
          </a: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endParaRPr lang="en-US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endParaRPr lang="en-US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Sefaseba</a:t>
          </a:r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endParaRPr lang="en-US" b="1"/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endParaRPr lang="en-US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sz="1200" b="1">
              <a:latin typeface="AcadNusx" pitchFamily="2" charset="0"/>
            </a:rPr>
            <a:t>RonisZiebebi</a:t>
          </a: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endParaRPr lang="en-US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endParaRPr lang="en-US" b="1"/>
        </a:p>
      </dgm:t>
    </dgm:pt>
    <dgm:pt modelId="{EC4D90D5-A3B7-4A12-88DA-77AA7E9A9696}">
      <dgm:prSet custT="1"/>
      <dgm:spPr/>
      <dgm:t>
        <a:bodyPr/>
        <a:lstStyle/>
        <a:p>
          <a:endParaRPr lang="ka-GE" sz="1000" b="0"/>
        </a:p>
        <a:p>
          <a:r>
            <a:rPr lang="ka-GE" sz="1000" b="0">
              <a:solidFill>
                <a:sysClr val="windowText" lastClr="000000"/>
              </a:solidFill>
            </a:rPr>
            <a:t>საწარმოს  100 % წილის </a:t>
          </a:r>
          <a:r>
            <a:rPr lang="ka-GE" sz="1000" b="0"/>
            <a:t>მფლობელი დამფუძნებლისგან (რომელიც ამავდროულად დაქირავებული პირია) შეძენილი აქვს შენობა-ნაგებობა 900 000 ლარად.შენობა-ნაგებობის ღირებულება საწარმოს სრულად აქვს  გამოქვითული სსკ-ის 112-ე (ძვ. 183(13) მუხლის მიხედვით.</a:t>
          </a:r>
          <a:endParaRPr lang="en-US" sz="1000" b="0">
            <a:latin typeface="AcadNusx" pitchFamily="2" charset="0"/>
          </a:endParaRPr>
        </a:p>
        <a:p>
          <a:endParaRPr lang="en-US" sz="1000" b="0">
            <a:latin typeface="AcadNusx" pitchFamily="2" charset="0"/>
          </a:endParaRPr>
        </a:p>
      </dgm:t>
    </dgm:pt>
    <dgm:pt modelId="{02B9985B-7F57-43D5-A167-ED9248916466}" type="parTrans" cxnId="{CC61CAD8-20F9-4D1B-8F00-82CF26AF7D3E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C1723F-131E-443A-96FF-9BE700D1BD0D}" type="sibTrans" cxnId="{CC61CAD8-20F9-4D1B-8F00-82CF26AF7D3E}">
      <dgm:prSet/>
      <dgm:spPr/>
      <dgm:t>
        <a:bodyPr/>
        <a:lstStyle/>
        <a:p>
          <a:endParaRPr lang="en-US" b="1"/>
        </a:p>
      </dgm:t>
    </dgm:pt>
    <dgm:pt modelId="{2A593D08-6C4F-4893-8DEF-0F179E451227}">
      <dgm:prSet custT="1"/>
      <dgm:spPr/>
      <dgm:t>
        <a:bodyPr/>
        <a:lstStyle/>
        <a:p>
          <a:r>
            <a:rPr lang="ka-GE" sz="1000"/>
            <a:t>ექსპერტიზით დგინდება, რომ შენობა-ნაგებობის საბაზრო ღირებულება შეადგენს  600 000 ლარს, ამასთან აღნიშნული შენობა-ნაგებობა დამფუძნებლის მიერ შეძენილია მიწოდებამდე 3 წლით ადრე 400 000 ლარად</a:t>
          </a:r>
          <a:endParaRPr lang="en-US" sz="1100"/>
        </a:p>
      </dgm:t>
    </dgm:pt>
    <dgm:pt modelId="{C902E2DB-BEC8-4856-BA4D-E8C3C7168B79}" type="parTrans" cxnId="{F70FCFE0-EAD8-46B2-8883-423F734FFEEB}">
      <dgm:prSet/>
      <dgm:spPr/>
      <dgm:t>
        <a:bodyPr/>
        <a:lstStyle/>
        <a:p>
          <a:endParaRPr lang="en-US"/>
        </a:p>
      </dgm:t>
    </dgm:pt>
    <dgm:pt modelId="{8B01C6E7-502C-4DDA-AD2D-4A3C9360150F}" type="sibTrans" cxnId="{F70FCFE0-EAD8-46B2-8883-423F734FFEEB}">
      <dgm:prSet/>
      <dgm:spPr/>
      <dgm:t>
        <a:bodyPr/>
        <a:lstStyle/>
        <a:p>
          <a:endParaRPr lang="en-US"/>
        </a:p>
      </dgm:t>
    </dgm:pt>
    <dgm:pt modelId="{A152B602-062D-4E64-A3D6-78122E113A2D}">
      <dgm:prSet custT="1"/>
      <dgm:spPr/>
      <dgm:t>
        <a:bodyPr/>
        <a:lstStyle/>
        <a:p>
          <a:r>
            <a:rPr lang="ka-GE" sz="1000"/>
            <a:t>საწარმოს მიერ ზედმეტად გაცემული თანხა 300 000 ლარი  ჩაითვლება დამფუძნებლის მიერ მიღებულ დივიდენდად  და დაიბეგრება სსკ-ის 130-ე (ძვ.195-ე) მუხლის შესაბამისად</a:t>
          </a:r>
          <a:endParaRPr lang="en-US" sz="1000"/>
        </a:p>
      </dgm:t>
    </dgm:pt>
    <dgm:pt modelId="{1B4B492B-103A-483E-AA48-37A39B40A7E3}" type="parTrans" cxnId="{00A39455-A014-46F6-B77B-C5D2705E0233}">
      <dgm:prSet/>
      <dgm:spPr/>
      <dgm:t>
        <a:bodyPr/>
        <a:lstStyle/>
        <a:p>
          <a:endParaRPr lang="en-US"/>
        </a:p>
      </dgm:t>
    </dgm:pt>
    <dgm:pt modelId="{937592B9-0713-4D6A-AA11-7983065BF7F3}" type="sibTrans" cxnId="{00A39455-A014-46F6-B77B-C5D2705E0233}">
      <dgm:prSet/>
      <dgm:spPr/>
      <dgm:t>
        <a:bodyPr/>
        <a:lstStyle/>
        <a:p>
          <a:endParaRPr lang="en-US"/>
        </a:p>
      </dgm:t>
    </dgm:pt>
    <dgm:pt modelId="{9C07E8BA-B3FD-42C8-B782-31F94FDE4DD6}">
      <dgm:prSet custT="1"/>
      <dgm:spPr/>
      <dgm:t>
        <a:bodyPr/>
        <a:lstStyle/>
        <a:p>
          <a:r>
            <a:rPr lang="ka-GE" sz="1000"/>
            <a:t>საწარმოს უნდა გამოექვითა შენობა ნაგებობის საბაზრო ფასი 600 000 ლარი, შესაბამისად 300 000 (900 000-600 000) ლარით გაზრდილია მიმდინარე წლის ერთობლივი შემოსავალიდან გამოსაქვითი ხარჯი</a:t>
          </a:r>
          <a:endParaRPr lang="en-US" sz="1000">
            <a:solidFill>
              <a:srgbClr val="FF0000"/>
            </a:solidFill>
          </a:endParaRPr>
        </a:p>
      </dgm:t>
    </dgm:pt>
    <dgm:pt modelId="{3F98D161-D752-4940-A3D1-1ED95BE5267D}" type="parTrans" cxnId="{55A8A129-A5D9-446E-8C24-4A7E5EDDBBDC}">
      <dgm:prSet/>
      <dgm:spPr/>
      <dgm:t>
        <a:bodyPr/>
        <a:lstStyle/>
        <a:p>
          <a:endParaRPr lang="en-US"/>
        </a:p>
      </dgm:t>
    </dgm:pt>
    <dgm:pt modelId="{FD503510-49B1-4365-B7AF-30C80A18DA9B}" type="sibTrans" cxnId="{55A8A129-A5D9-446E-8C24-4A7E5EDDBBDC}">
      <dgm:prSet/>
      <dgm:spPr/>
      <dgm:t>
        <a:bodyPr/>
        <a:lstStyle/>
        <a:p>
          <a:endParaRPr lang="en-US"/>
        </a:p>
      </dgm:t>
    </dgm:pt>
    <dgm:pt modelId="{8A910AC1-0E40-4BEE-A561-FCDF743BA861}">
      <dgm:prSet custT="1"/>
      <dgm:spPr/>
      <dgm:t>
        <a:bodyPr/>
        <a:lstStyle/>
        <a:p>
          <a:endParaRPr lang="ka-GE" sz="1000"/>
        </a:p>
        <a:p>
          <a:r>
            <a:rPr lang="ka-GE" sz="1000"/>
            <a:t>ფიზიკური პირის მიერ  შენობა-ნაგებობის მიწოდებით მიღებული შემოსავალი არ იქნა დაბეგრილი სსკ-ის 82(1ვ)-ე (ძვ.168-ე) მუხლის გათვალისწინებით</a:t>
          </a:r>
        </a:p>
        <a:p>
          <a:endParaRPr lang="en-US" sz="1000">
            <a:solidFill>
              <a:srgbClr val="FF0000"/>
            </a:solidFill>
          </a:endParaRPr>
        </a:p>
      </dgm:t>
    </dgm:pt>
    <dgm:pt modelId="{28F0FBB7-3AB5-4A25-8AE5-B92E56FA05D0}" type="parTrans" cxnId="{30606017-1A92-4D3B-AFED-D68D783813A3}">
      <dgm:prSet/>
      <dgm:spPr/>
      <dgm:t>
        <a:bodyPr/>
        <a:lstStyle/>
        <a:p>
          <a:endParaRPr lang="en-US"/>
        </a:p>
      </dgm:t>
    </dgm:pt>
    <dgm:pt modelId="{836E2003-7ECC-4110-A4E5-6A58C59AD047}" type="sibTrans" cxnId="{30606017-1A92-4D3B-AFED-D68D783813A3}">
      <dgm:prSet/>
      <dgm:spPr/>
      <dgm:t>
        <a:bodyPr/>
        <a:lstStyle/>
        <a:p>
          <a:endParaRPr lang="en-US"/>
        </a:p>
      </dgm:t>
    </dgm:pt>
    <dgm:pt modelId="{33991C9A-45FF-4E3A-85EA-5775C1E59D36}">
      <dgm:prSet custT="1"/>
      <dgm:spPr/>
      <dgm:t>
        <a:bodyPr/>
        <a:lstStyle/>
        <a:p>
          <a:r>
            <a:rPr lang="ka-GE" sz="1000"/>
            <a:t>ფაქტობრივი გარემოებების გათვალისწინებით, სსკ-ის მე-18 მუხლის საფუძველზე, აღნიშნული მიწოდების ფასი განისაზღვრება საბაზრო ღირებულებით (600 000 ლარი)</a:t>
          </a:r>
          <a:endParaRPr lang="en-US" sz="1000"/>
        </a:p>
      </dgm:t>
    </dgm:pt>
    <dgm:pt modelId="{F528A14A-AF5E-44E4-A87B-FFE84FA0635C}" type="parTrans" cxnId="{6ED39D44-B9EA-418C-A560-592B3E00AE9E}">
      <dgm:prSet/>
      <dgm:spPr/>
      <dgm:t>
        <a:bodyPr/>
        <a:lstStyle/>
        <a:p>
          <a:endParaRPr lang="en-US"/>
        </a:p>
      </dgm:t>
    </dgm:pt>
    <dgm:pt modelId="{4A188E4D-4188-49AC-9598-D53B6D0CF827}" type="sibTrans" cxnId="{6ED39D44-B9EA-418C-A560-592B3E00AE9E}">
      <dgm:prSet/>
      <dgm:spPr/>
      <dgm:t>
        <a:bodyPr/>
        <a:lstStyle/>
        <a:p>
          <a:endParaRPr lang="en-US"/>
        </a:p>
      </dgm:t>
    </dgm:pt>
    <dgm:pt modelId="{B4D11B42-E642-4237-B8F9-795C9B3B1616}">
      <dgm:prSet custT="1"/>
      <dgm:spPr/>
      <dgm:t>
        <a:bodyPr/>
        <a:lstStyle/>
        <a:p>
          <a:r>
            <a:rPr lang="ka-GE" sz="1000" b="0" i="0">
              <a:latin typeface="AcadNusx" pitchFamily="2" charset="0"/>
            </a:rPr>
            <a:t>საწარმოს დაერიცხება კუთვნილი მოგებისა და </a:t>
          </a:r>
          <a:r>
            <a:rPr lang="ka-GE" sz="1000" b="0" i="0">
              <a:solidFill>
                <a:sysClr val="windowText" lastClr="000000"/>
              </a:solidFill>
              <a:latin typeface="AcadNusx" pitchFamily="2" charset="0"/>
            </a:rPr>
            <a:t>საშემოსავლო (დივიდენდთან მიმართებაში) გადასახადები. </a:t>
          </a:r>
          <a:r>
            <a:rPr lang="ka-GE" sz="1000" b="0" i="0">
              <a:latin typeface="AcadNusx" pitchFamily="2" charset="0"/>
            </a:rPr>
            <a:t>დეკლარაციაში გადასახადის თანხის შემცირების შემთხვევაში დაჯარიმდება სსკ-ის 275-ე (ძვ.132-ე) მუხლის შესაბამისად</a:t>
          </a:r>
          <a:endParaRPr lang="en-US" sz="1000" b="0" i="0">
            <a:latin typeface="AcadNusx" pitchFamily="2" charset="0"/>
          </a:endParaRPr>
        </a:p>
      </dgm:t>
    </dgm:pt>
    <dgm:pt modelId="{AABBDE0A-B9EF-4CAF-B4FA-89ECFE64C588}" type="sibTrans" cxnId="{C635285C-E76F-438F-AD88-49B501D4FCD4}">
      <dgm:prSet/>
      <dgm:spPr/>
      <dgm:t>
        <a:bodyPr/>
        <a:lstStyle/>
        <a:p>
          <a:endParaRPr lang="en-US" b="1"/>
        </a:p>
      </dgm:t>
    </dgm:pt>
    <dgm:pt modelId="{63BFCA6C-BEC4-435A-8E72-0F4C0248610F}" type="parTrans" cxnId="{C635285C-E76F-438F-AD88-49B501D4FCD4}">
      <dgm:prSet/>
      <dgm:spPr/>
      <dgm:t>
        <a:bodyPr/>
        <a:lstStyle/>
        <a:p>
          <a:endParaRPr lang="en-US" sz="1100" b="0">
            <a:latin typeface="AcadNusx" pitchFamily="2" charset="0"/>
          </a:endParaRPr>
        </a:p>
      </dgm:t>
    </dgm:pt>
    <dgm:pt modelId="{C010E702-B2AC-4E03-8CD0-31277B11962C}">
      <dgm:prSet custT="1"/>
      <dgm:spPr/>
      <dgm:t>
        <a:bodyPr/>
        <a:lstStyle/>
        <a:p>
          <a:r>
            <a:rPr lang="ka-GE" sz="1000">
              <a:solidFill>
                <a:sysClr val="windowText" lastClr="000000"/>
              </a:solidFill>
            </a:rPr>
            <a:t>მიწოდების პერიოდის მიხედვით საწარმოს გაუნაწილებელი მოგება  შეადგენს 400 000 ლარს</a:t>
          </a:r>
        </a:p>
      </dgm:t>
    </dgm:pt>
    <dgm:pt modelId="{5B63AA7A-9B40-47BB-96E0-3A102160D2A8}" type="parTrans" cxnId="{F8934428-1901-4FA9-AF6D-FDCF927623B7}">
      <dgm:prSet/>
      <dgm:spPr/>
      <dgm:t>
        <a:bodyPr/>
        <a:lstStyle/>
        <a:p>
          <a:endParaRPr lang="en-US"/>
        </a:p>
      </dgm:t>
    </dgm:pt>
    <dgm:pt modelId="{B5B5CD6F-69F7-43C9-884E-9D431AD7FA80}" type="sibTrans" cxnId="{F8934428-1901-4FA9-AF6D-FDCF927623B7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72399" custScaleY="85174" custLinFactNeighborX="5216" custLinFactNeighborY="-97851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E401CA66-E0CC-4580-B865-916053515C0A}" type="pres">
      <dgm:prSet presAssocID="{02B9985B-7F57-43D5-A167-ED9248916466}" presName="Name13" presStyleLbl="parChTrans1D2" presStyleIdx="0" presStyleCnt="8"/>
      <dgm:spPr/>
      <dgm:t>
        <a:bodyPr/>
        <a:lstStyle/>
        <a:p>
          <a:endParaRPr lang="en-US"/>
        </a:p>
      </dgm:t>
    </dgm:pt>
    <dgm:pt modelId="{502E3CA8-4633-4F6E-956E-8D77AF0B9A67}" type="pres">
      <dgm:prSet presAssocID="{EC4D90D5-A3B7-4A12-88DA-77AA7E9A9696}" presName="childText" presStyleLbl="bgAcc1" presStyleIdx="0" presStyleCnt="8" custScaleX="217045" custScaleY="319244" custLinFactNeighborX="-1273" custLinFactNeighborY="-715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17D2F-48EA-4414-B8C3-0F0DF1020FA4}" type="pres">
      <dgm:prSet presAssocID="{C902E2DB-BEC8-4856-BA4D-E8C3C7168B79}" presName="Name13" presStyleLbl="parChTrans1D2" presStyleIdx="1" presStyleCnt="8"/>
      <dgm:spPr/>
      <dgm:t>
        <a:bodyPr/>
        <a:lstStyle/>
        <a:p>
          <a:endParaRPr lang="en-US"/>
        </a:p>
      </dgm:t>
    </dgm:pt>
    <dgm:pt modelId="{06166254-EAD0-4311-851E-F063E7192781}" type="pres">
      <dgm:prSet presAssocID="{2A593D08-6C4F-4893-8DEF-0F179E451227}" presName="childText" presStyleLbl="bgAcc1" presStyleIdx="1" presStyleCnt="8" custScaleX="221445" custScaleY="208761" custLinFactNeighborX="4869" custLinFactNeighborY="-669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96E6A2-5A14-45A7-9E69-D9E3507BDD8D}" type="pres">
      <dgm:prSet presAssocID="{28F0FBB7-3AB5-4A25-8AE5-B92E56FA05D0}" presName="Name13" presStyleLbl="parChTrans1D2" presStyleIdx="2" presStyleCnt="8"/>
      <dgm:spPr/>
      <dgm:t>
        <a:bodyPr/>
        <a:lstStyle/>
        <a:p>
          <a:endParaRPr lang="en-US"/>
        </a:p>
      </dgm:t>
    </dgm:pt>
    <dgm:pt modelId="{F1B83ECC-B866-433D-91ED-660B30CE8941}" type="pres">
      <dgm:prSet presAssocID="{8A910AC1-0E40-4BEE-A561-FCDF743BA861}" presName="childText" presStyleLbl="bgAcc1" presStyleIdx="2" presStyleCnt="8" custScaleX="216763" custScaleY="186485" custLinFactNeighborX="8613" custLinFactNeighborY="-563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0D1A34-FDFE-4CB4-A430-9B57BD4DB09A}" type="pres">
      <dgm:prSet presAssocID="{5B63AA7A-9B40-47BB-96E0-3A102160D2A8}" presName="Name13" presStyleLbl="parChTrans1D2" presStyleIdx="3" presStyleCnt="8"/>
      <dgm:spPr/>
      <dgm:t>
        <a:bodyPr/>
        <a:lstStyle/>
        <a:p>
          <a:endParaRPr lang="en-US"/>
        </a:p>
      </dgm:t>
    </dgm:pt>
    <dgm:pt modelId="{6D6FBFD1-B77F-419C-A0AD-DA219C81D27B}" type="pres">
      <dgm:prSet presAssocID="{C010E702-B2AC-4E03-8CD0-31277B11962C}" presName="childText" presStyleLbl="bgAcc1" presStyleIdx="3" presStyleCnt="8" custScaleX="217520" custScaleY="123152" custLinFactNeighborX="12196" custLinFactNeighborY="-461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ScaleX="230901" custScaleY="83335" custLinFactNeighborX="1306" custLinFactNeighborY="-96138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584661F5-5507-495B-A407-8A7C5FB47BFB}" type="pres">
      <dgm:prSet presAssocID="{F528A14A-AF5E-44E4-A87B-FFE84FA0635C}" presName="Name13" presStyleLbl="parChTrans1D2" presStyleIdx="4" presStyleCnt="8"/>
      <dgm:spPr/>
      <dgm:t>
        <a:bodyPr/>
        <a:lstStyle/>
        <a:p>
          <a:endParaRPr lang="en-US"/>
        </a:p>
      </dgm:t>
    </dgm:pt>
    <dgm:pt modelId="{811180F8-985E-43C1-93D2-0134FBDCA749}" type="pres">
      <dgm:prSet presAssocID="{33991C9A-45FF-4E3A-85EA-5775C1E59D36}" presName="childText" presStyleLbl="bgAcc1" presStyleIdx="4" presStyleCnt="8" custScaleX="252084" custScaleY="192066" custLinFactNeighborX="-4201" custLinFactNeighborY="-657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73286C-BE2C-4BDC-AB7F-83A56B85C3BA}" type="pres">
      <dgm:prSet presAssocID="{3F98D161-D752-4940-A3D1-1ED95BE5267D}" presName="Name13" presStyleLbl="parChTrans1D2" presStyleIdx="5" presStyleCnt="8"/>
      <dgm:spPr/>
      <dgm:t>
        <a:bodyPr/>
        <a:lstStyle/>
        <a:p>
          <a:endParaRPr lang="en-US"/>
        </a:p>
      </dgm:t>
    </dgm:pt>
    <dgm:pt modelId="{F5A3E357-4324-493A-86ED-EC691E29B736}" type="pres">
      <dgm:prSet presAssocID="{9C07E8BA-B3FD-42C8-B782-31F94FDE4DD6}" presName="childText" presStyleLbl="bgAcc1" presStyleIdx="5" presStyleCnt="8" custScaleX="266076" custScaleY="176352" custLinFactNeighborX="-6048" custLinFactNeighborY="-553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470C41-2082-4824-BBB4-B95E8D93278B}" type="pres">
      <dgm:prSet presAssocID="{1B4B492B-103A-483E-AA48-37A39B40A7E3}" presName="Name13" presStyleLbl="parChTrans1D2" presStyleIdx="6" presStyleCnt="8"/>
      <dgm:spPr/>
      <dgm:t>
        <a:bodyPr/>
        <a:lstStyle/>
        <a:p>
          <a:endParaRPr lang="en-US"/>
        </a:p>
      </dgm:t>
    </dgm:pt>
    <dgm:pt modelId="{20880763-E31A-490C-B414-77C0969A996D}" type="pres">
      <dgm:prSet presAssocID="{A152B602-062D-4E64-A3D6-78122E113A2D}" presName="childText" presStyleLbl="bgAcc1" presStyleIdx="6" presStyleCnt="8" custScaleX="258560" custScaleY="183729" custLinFactNeighborX="-3668" custLinFactNeighborY="-386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76171" custScaleY="84722" custLinFactNeighborX="-11225" custLinFactNeighborY="-97851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EE9D00C4-D2C7-4FC5-8294-1E69973FB5F8}" type="pres">
      <dgm:prSet presAssocID="{63BFCA6C-BEC4-435A-8E72-0F4C0248610F}" presName="Name13" presStyleLbl="parChTrans1D2" presStyleIdx="7" presStyleCnt="8"/>
      <dgm:spPr/>
      <dgm:t>
        <a:bodyPr/>
        <a:lstStyle/>
        <a:p>
          <a:endParaRPr lang="en-US"/>
        </a:p>
      </dgm:t>
    </dgm:pt>
    <dgm:pt modelId="{5833CB5C-BF6D-4796-A3D1-E840B57D7143}" type="pres">
      <dgm:prSet presAssocID="{B4D11B42-E642-4237-B8F9-795C9B3B1616}" presName="childText" presStyleLbl="bgAcc1" presStyleIdx="7" presStyleCnt="8" custScaleX="179542" custScaleY="321618" custLinFactNeighborX="-15045" custLinFactNeighborY="-671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4EEFDC7-3E0C-4760-8A88-A4779ED0E66C}" type="presOf" srcId="{E40EDAB5-D188-4812-A61A-95A9AC19C0AE}" destId="{FA81A31F-68B4-47C4-B547-823393526F80}" srcOrd="1" destOrd="0" presId="urn:microsoft.com/office/officeart/2005/8/layout/hierarchy3"/>
    <dgm:cxn modelId="{6E991923-B7DD-443D-9D25-4F1E7D6909B0}" type="presOf" srcId="{0864151C-55A8-4402-A51E-35DDE1DCFDCF}" destId="{CCF1B5AD-441C-4182-AB14-F5EBF8654620}" srcOrd="0" destOrd="0" presId="urn:microsoft.com/office/officeart/2005/8/layout/hierarchy3"/>
    <dgm:cxn modelId="{018C7F56-3414-42D9-8172-94A9B67FE964}" type="presOf" srcId="{C902E2DB-BEC8-4856-BA4D-E8C3C7168B79}" destId="{F1317D2F-48EA-4414-B8C3-0F0DF1020FA4}" srcOrd="0" destOrd="0" presId="urn:microsoft.com/office/officeart/2005/8/layout/hierarchy3"/>
    <dgm:cxn modelId="{8A3EE1B0-2A93-4439-AD9D-37CD777D1F80}" type="presOf" srcId="{33991C9A-45FF-4E3A-85EA-5775C1E59D36}" destId="{811180F8-985E-43C1-93D2-0134FBDCA749}" srcOrd="0" destOrd="0" presId="urn:microsoft.com/office/officeart/2005/8/layout/hierarchy3"/>
    <dgm:cxn modelId="{83B52522-46ED-467A-9DC6-356FDFD2D646}" type="presOf" srcId="{EC4D90D5-A3B7-4A12-88DA-77AA7E9A9696}" destId="{502E3CA8-4633-4F6E-956E-8D77AF0B9A67}" srcOrd="0" destOrd="0" presId="urn:microsoft.com/office/officeart/2005/8/layout/hierarchy3"/>
    <dgm:cxn modelId="{BD45E481-FFD1-4047-AD9C-90E944512A13}" type="presOf" srcId="{63BFCA6C-BEC4-435A-8E72-0F4C0248610F}" destId="{EE9D00C4-D2C7-4FC5-8294-1E69973FB5F8}" srcOrd="0" destOrd="0" presId="urn:microsoft.com/office/officeart/2005/8/layout/hierarchy3"/>
    <dgm:cxn modelId="{59A7B749-73E7-456C-BAEF-D92E2FCE2A3B}" type="presOf" srcId="{3F98D161-D752-4940-A3D1-1ED95BE5267D}" destId="{5873286C-BE2C-4BDC-AB7F-83A56B85C3BA}" srcOrd="0" destOrd="0" presId="urn:microsoft.com/office/officeart/2005/8/layout/hierarchy3"/>
    <dgm:cxn modelId="{3AF1D958-DE46-49DE-86AF-A7CB74C2F781}" type="presOf" srcId="{A152B602-062D-4E64-A3D6-78122E113A2D}" destId="{20880763-E31A-490C-B414-77C0969A996D}" srcOrd="0" destOrd="0" presId="urn:microsoft.com/office/officeart/2005/8/layout/hierarchy3"/>
    <dgm:cxn modelId="{6ED39D44-B9EA-418C-A560-592B3E00AE9E}" srcId="{0864151C-55A8-4402-A51E-35DDE1DCFDCF}" destId="{33991C9A-45FF-4E3A-85EA-5775C1E59D36}" srcOrd="0" destOrd="0" parTransId="{F528A14A-AF5E-44E4-A87B-FFE84FA0635C}" sibTransId="{4A188E4D-4188-49AC-9598-D53B6D0CF827}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41B30BB1-0DEA-49A0-A174-53A4DEED8819}" type="presOf" srcId="{F528A14A-AF5E-44E4-A87B-FFE84FA0635C}" destId="{584661F5-5507-495B-A407-8A7C5FB47BFB}" srcOrd="0" destOrd="0" presId="urn:microsoft.com/office/officeart/2005/8/layout/hierarchy3"/>
    <dgm:cxn modelId="{3751EED9-E2AF-4233-BD29-7E4A7E71EF5C}" type="presOf" srcId="{AF2C8C0F-097D-4DC9-9C67-E8D19F634135}" destId="{B388476D-662D-499E-86FF-075E40B9B116}" srcOrd="0" destOrd="0" presId="urn:microsoft.com/office/officeart/2005/8/layout/hierarchy3"/>
    <dgm:cxn modelId="{F70FCFE0-EAD8-46B2-8883-423F734FFEEB}" srcId="{6EDDC9A4-7743-45A1-A47F-DDC8AA334378}" destId="{2A593D08-6C4F-4893-8DEF-0F179E451227}" srcOrd="1" destOrd="0" parTransId="{C902E2DB-BEC8-4856-BA4D-E8C3C7168B79}" sibTransId="{8B01C6E7-502C-4DDA-AD2D-4A3C9360150F}"/>
    <dgm:cxn modelId="{DEEF0AFD-9327-4C62-A795-C6E92F2E1E27}" type="presOf" srcId="{0864151C-55A8-4402-A51E-35DDE1DCFDCF}" destId="{F5A8D68E-1317-4112-8179-3D951CA9F398}" srcOrd="1" destOrd="0" presId="urn:microsoft.com/office/officeart/2005/8/layout/hierarchy3"/>
    <dgm:cxn modelId="{CC61CAD8-20F9-4D1B-8F00-82CF26AF7D3E}" srcId="{6EDDC9A4-7743-45A1-A47F-DDC8AA334378}" destId="{EC4D90D5-A3B7-4A12-88DA-77AA7E9A9696}" srcOrd="0" destOrd="0" parTransId="{02B9985B-7F57-43D5-A167-ED9248916466}" sibTransId="{C0C1723F-131E-443A-96FF-9BE700D1BD0D}"/>
    <dgm:cxn modelId="{193D7A3D-390E-4963-AC2C-19AFE0C3EDF9}" type="presOf" srcId="{6EDDC9A4-7743-45A1-A47F-DDC8AA334378}" destId="{1A83EF98-3231-40EA-B1D6-7E43DBA651A6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00A39455-A014-46F6-B77B-C5D2705E0233}" srcId="{0864151C-55A8-4402-A51E-35DDE1DCFDCF}" destId="{A152B602-062D-4E64-A3D6-78122E113A2D}" srcOrd="2" destOrd="0" parTransId="{1B4B492B-103A-483E-AA48-37A39B40A7E3}" sibTransId="{937592B9-0713-4D6A-AA11-7983065BF7F3}"/>
    <dgm:cxn modelId="{C06F7B89-3235-4ECC-915C-D7A2C3E8C6D7}" type="presOf" srcId="{8A910AC1-0E40-4BEE-A561-FCDF743BA861}" destId="{F1B83ECC-B866-433D-91ED-660B30CE8941}" srcOrd="0" destOrd="0" presId="urn:microsoft.com/office/officeart/2005/8/layout/hierarchy3"/>
    <dgm:cxn modelId="{30606017-1A92-4D3B-AFED-D68D783813A3}" srcId="{6EDDC9A4-7743-45A1-A47F-DDC8AA334378}" destId="{8A910AC1-0E40-4BEE-A561-FCDF743BA861}" srcOrd="2" destOrd="0" parTransId="{28F0FBB7-3AB5-4A25-8AE5-B92E56FA05D0}" sibTransId="{836E2003-7ECC-4110-A4E5-6A58C59AD047}"/>
    <dgm:cxn modelId="{99A4EA9E-272E-4294-88ED-2006DF43E27A}" type="presOf" srcId="{B4D11B42-E642-4237-B8F9-795C9B3B1616}" destId="{5833CB5C-BF6D-4796-A3D1-E840B57D7143}" srcOrd="0" destOrd="0" presId="urn:microsoft.com/office/officeart/2005/8/layout/hierarchy3"/>
    <dgm:cxn modelId="{0E022418-0A5D-4187-A8C3-965271D6C4D1}" type="presOf" srcId="{1B4B492B-103A-483E-AA48-37A39B40A7E3}" destId="{84470C41-2082-4824-BBB4-B95E8D93278B}" srcOrd="0" destOrd="0" presId="urn:microsoft.com/office/officeart/2005/8/layout/hierarchy3"/>
    <dgm:cxn modelId="{F8934428-1901-4FA9-AF6D-FDCF927623B7}" srcId="{6EDDC9A4-7743-45A1-A47F-DDC8AA334378}" destId="{C010E702-B2AC-4E03-8CD0-31277B11962C}" srcOrd="3" destOrd="0" parTransId="{5B63AA7A-9B40-47BB-96E0-3A102160D2A8}" sibTransId="{B5B5CD6F-69F7-43C9-884E-9D431AD7FA80}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877DCFCE-D10D-484A-9624-FE59D00530EA}" type="presOf" srcId="{C010E702-B2AC-4E03-8CD0-31277B11962C}" destId="{6D6FBFD1-B77F-419C-A0AD-DA219C81D27B}" srcOrd="0" destOrd="0" presId="urn:microsoft.com/office/officeart/2005/8/layout/hierarchy3"/>
    <dgm:cxn modelId="{57CA13C3-FCB9-4C4A-A61E-2DD156121E2E}" type="presOf" srcId="{E40EDAB5-D188-4812-A61A-95A9AC19C0AE}" destId="{A52CC481-1E94-45D5-998C-116D7F06F43C}" srcOrd="0" destOrd="0" presId="urn:microsoft.com/office/officeart/2005/8/layout/hierarchy3"/>
    <dgm:cxn modelId="{1B2F49AB-F391-4784-8B50-0FBC73D26449}" type="presOf" srcId="{2A593D08-6C4F-4893-8DEF-0F179E451227}" destId="{06166254-EAD0-4311-851E-F063E7192781}" srcOrd="0" destOrd="0" presId="urn:microsoft.com/office/officeart/2005/8/layout/hierarchy3"/>
    <dgm:cxn modelId="{4941766C-B236-4637-92DB-6BC9C028496D}" type="presOf" srcId="{6EDDC9A4-7743-45A1-A47F-DDC8AA334378}" destId="{8E010497-E5A8-4319-AFB0-5D34092ECD88}" srcOrd="1" destOrd="0" presId="urn:microsoft.com/office/officeart/2005/8/layout/hierarchy3"/>
    <dgm:cxn modelId="{B1D9161A-F5CC-48D3-9305-DDB8385AC6AD}" type="presOf" srcId="{02B9985B-7F57-43D5-A167-ED9248916466}" destId="{E401CA66-E0CC-4580-B865-916053515C0A}" srcOrd="0" destOrd="0" presId="urn:microsoft.com/office/officeart/2005/8/layout/hierarchy3"/>
    <dgm:cxn modelId="{55A8A129-A5D9-446E-8C24-4A7E5EDDBBDC}" srcId="{0864151C-55A8-4402-A51E-35DDE1DCFDCF}" destId="{9C07E8BA-B3FD-42C8-B782-31F94FDE4DD6}" srcOrd="1" destOrd="0" parTransId="{3F98D161-D752-4940-A3D1-1ED95BE5267D}" sibTransId="{FD503510-49B1-4365-B7AF-30C80A18DA9B}"/>
    <dgm:cxn modelId="{C635285C-E76F-438F-AD88-49B501D4FCD4}" srcId="{E40EDAB5-D188-4812-A61A-95A9AC19C0AE}" destId="{B4D11B42-E642-4237-B8F9-795C9B3B1616}" srcOrd="0" destOrd="0" parTransId="{63BFCA6C-BEC4-435A-8E72-0F4C0248610F}" sibTransId="{AABBDE0A-B9EF-4CAF-B4FA-89ECFE64C588}"/>
    <dgm:cxn modelId="{C9DFEA60-7947-4C7E-896C-BDE32EE53A42}" type="presOf" srcId="{9C07E8BA-B3FD-42C8-B782-31F94FDE4DD6}" destId="{F5A3E357-4324-493A-86ED-EC691E29B736}" srcOrd="0" destOrd="0" presId="urn:microsoft.com/office/officeart/2005/8/layout/hierarchy3"/>
    <dgm:cxn modelId="{8641FF6A-F717-47AA-9E15-1D94B6E47A6C}" type="presOf" srcId="{5B63AA7A-9B40-47BB-96E0-3A102160D2A8}" destId="{F50D1A34-FDFE-4CB4-A430-9B57BD4DB09A}" srcOrd="0" destOrd="0" presId="urn:microsoft.com/office/officeart/2005/8/layout/hierarchy3"/>
    <dgm:cxn modelId="{4AB28047-190F-441C-93E9-22E72E759B88}" type="presOf" srcId="{28F0FBB7-3AB5-4A25-8AE5-B92E56FA05D0}" destId="{2096E6A2-5A14-45A7-9E69-D9E3507BDD8D}" srcOrd="0" destOrd="0" presId="urn:microsoft.com/office/officeart/2005/8/layout/hierarchy3"/>
    <dgm:cxn modelId="{D490A684-0071-4C45-A3C8-BDA0680025B0}" type="presParOf" srcId="{B388476D-662D-499E-86FF-075E40B9B116}" destId="{4CCE11F2-9671-4C6B-9F76-2C10D78361EF}" srcOrd="0" destOrd="0" presId="urn:microsoft.com/office/officeart/2005/8/layout/hierarchy3"/>
    <dgm:cxn modelId="{2E001A8C-91A3-4F0F-A78D-BDE4963DD74A}" type="presParOf" srcId="{4CCE11F2-9671-4C6B-9F76-2C10D78361EF}" destId="{C557614C-F630-4D5F-BE22-AB9FC945D279}" srcOrd="0" destOrd="0" presId="urn:microsoft.com/office/officeart/2005/8/layout/hierarchy3"/>
    <dgm:cxn modelId="{B112C6DB-054B-488F-B843-1FD6A6781765}" type="presParOf" srcId="{C557614C-F630-4D5F-BE22-AB9FC945D279}" destId="{1A83EF98-3231-40EA-B1D6-7E43DBA651A6}" srcOrd="0" destOrd="0" presId="urn:microsoft.com/office/officeart/2005/8/layout/hierarchy3"/>
    <dgm:cxn modelId="{13D7DBED-3137-4260-918C-28E43CD589E8}" type="presParOf" srcId="{C557614C-F630-4D5F-BE22-AB9FC945D279}" destId="{8E010497-E5A8-4319-AFB0-5D34092ECD88}" srcOrd="1" destOrd="0" presId="urn:microsoft.com/office/officeart/2005/8/layout/hierarchy3"/>
    <dgm:cxn modelId="{07D2D124-AD7A-4D86-9AC5-0AC62229FD5B}" type="presParOf" srcId="{4CCE11F2-9671-4C6B-9F76-2C10D78361EF}" destId="{2F8125D7-8EE8-4988-87E0-9DDFA76BED4A}" srcOrd="1" destOrd="0" presId="urn:microsoft.com/office/officeart/2005/8/layout/hierarchy3"/>
    <dgm:cxn modelId="{AB478E7F-1D78-4B87-9E59-E6969F3061A0}" type="presParOf" srcId="{2F8125D7-8EE8-4988-87E0-9DDFA76BED4A}" destId="{E401CA66-E0CC-4580-B865-916053515C0A}" srcOrd="0" destOrd="0" presId="urn:microsoft.com/office/officeart/2005/8/layout/hierarchy3"/>
    <dgm:cxn modelId="{BDAC61FB-2C26-4BBD-A560-2775E5A7675B}" type="presParOf" srcId="{2F8125D7-8EE8-4988-87E0-9DDFA76BED4A}" destId="{502E3CA8-4633-4F6E-956E-8D77AF0B9A67}" srcOrd="1" destOrd="0" presId="urn:microsoft.com/office/officeart/2005/8/layout/hierarchy3"/>
    <dgm:cxn modelId="{36E5FBF1-2155-420D-8B93-940CC92C877C}" type="presParOf" srcId="{2F8125D7-8EE8-4988-87E0-9DDFA76BED4A}" destId="{F1317D2F-48EA-4414-B8C3-0F0DF1020FA4}" srcOrd="2" destOrd="0" presId="urn:microsoft.com/office/officeart/2005/8/layout/hierarchy3"/>
    <dgm:cxn modelId="{1EE59D05-CC68-4799-91EA-F5C4C20BB5CA}" type="presParOf" srcId="{2F8125D7-8EE8-4988-87E0-9DDFA76BED4A}" destId="{06166254-EAD0-4311-851E-F063E7192781}" srcOrd="3" destOrd="0" presId="urn:microsoft.com/office/officeart/2005/8/layout/hierarchy3"/>
    <dgm:cxn modelId="{113FBA77-1D01-4D72-9620-D77991CC1680}" type="presParOf" srcId="{2F8125D7-8EE8-4988-87E0-9DDFA76BED4A}" destId="{2096E6A2-5A14-45A7-9E69-D9E3507BDD8D}" srcOrd="4" destOrd="0" presId="urn:microsoft.com/office/officeart/2005/8/layout/hierarchy3"/>
    <dgm:cxn modelId="{10481F70-7576-428F-86EF-57363B5B13A4}" type="presParOf" srcId="{2F8125D7-8EE8-4988-87E0-9DDFA76BED4A}" destId="{F1B83ECC-B866-433D-91ED-660B30CE8941}" srcOrd="5" destOrd="0" presId="urn:microsoft.com/office/officeart/2005/8/layout/hierarchy3"/>
    <dgm:cxn modelId="{434010A0-1027-4D88-9DDB-9D085E788FF1}" type="presParOf" srcId="{2F8125D7-8EE8-4988-87E0-9DDFA76BED4A}" destId="{F50D1A34-FDFE-4CB4-A430-9B57BD4DB09A}" srcOrd="6" destOrd="0" presId="urn:microsoft.com/office/officeart/2005/8/layout/hierarchy3"/>
    <dgm:cxn modelId="{2FFCDDB5-C1D5-4F3C-A403-306A86772EC7}" type="presParOf" srcId="{2F8125D7-8EE8-4988-87E0-9DDFA76BED4A}" destId="{6D6FBFD1-B77F-419C-A0AD-DA219C81D27B}" srcOrd="7" destOrd="0" presId="urn:microsoft.com/office/officeart/2005/8/layout/hierarchy3"/>
    <dgm:cxn modelId="{4AD24018-8095-4CFE-AB32-7F9FA32FBFE3}" type="presParOf" srcId="{B388476D-662D-499E-86FF-075E40B9B116}" destId="{2FB5DE3C-867A-44B8-89CD-BAF599600FD9}" srcOrd="1" destOrd="0" presId="urn:microsoft.com/office/officeart/2005/8/layout/hierarchy3"/>
    <dgm:cxn modelId="{E5779F9A-267A-4486-A67C-03B75A0F96E4}" type="presParOf" srcId="{2FB5DE3C-867A-44B8-89CD-BAF599600FD9}" destId="{9DE9E381-FFCB-4D13-B9AA-C091B657A585}" srcOrd="0" destOrd="0" presId="urn:microsoft.com/office/officeart/2005/8/layout/hierarchy3"/>
    <dgm:cxn modelId="{88273886-DC23-4299-9398-ACBC24FE4638}" type="presParOf" srcId="{9DE9E381-FFCB-4D13-B9AA-C091B657A585}" destId="{CCF1B5AD-441C-4182-AB14-F5EBF8654620}" srcOrd="0" destOrd="0" presId="urn:microsoft.com/office/officeart/2005/8/layout/hierarchy3"/>
    <dgm:cxn modelId="{CD708EDE-86F4-47E2-841B-BCC0C8E33AC7}" type="presParOf" srcId="{9DE9E381-FFCB-4D13-B9AA-C091B657A585}" destId="{F5A8D68E-1317-4112-8179-3D951CA9F398}" srcOrd="1" destOrd="0" presId="urn:microsoft.com/office/officeart/2005/8/layout/hierarchy3"/>
    <dgm:cxn modelId="{C273D728-133C-4E28-B023-AF21021018D8}" type="presParOf" srcId="{2FB5DE3C-867A-44B8-89CD-BAF599600FD9}" destId="{25491ECF-4A66-42F1-8AA3-00082B855958}" srcOrd="1" destOrd="0" presId="urn:microsoft.com/office/officeart/2005/8/layout/hierarchy3"/>
    <dgm:cxn modelId="{A4654986-3AF5-4881-9A32-ED38B94844EF}" type="presParOf" srcId="{25491ECF-4A66-42F1-8AA3-00082B855958}" destId="{584661F5-5507-495B-A407-8A7C5FB47BFB}" srcOrd="0" destOrd="0" presId="urn:microsoft.com/office/officeart/2005/8/layout/hierarchy3"/>
    <dgm:cxn modelId="{82AB8317-72A8-412D-9FE8-FBE52A3AC7C7}" type="presParOf" srcId="{25491ECF-4A66-42F1-8AA3-00082B855958}" destId="{811180F8-985E-43C1-93D2-0134FBDCA749}" srcOrd="1" destOrd="0" presId="urn:microsoft.com/office/officeart/2005/8/layout/hierarchy3"/>
    <dgm:cxn modelId="{1545124C-2350-4AA5-A9E5-509BBD817043}" type="presParOf" srcId="{25491ECF-4A66-42F1-8AA3-00082B855958}" destId="{5873286C-BE2C-4BDC-AB7F-83A56B85C3BA}" srcOrd="2" destOrd="0" presId="urn:microsoft.com/office/officeart/2005/8/layout/hierarchy3"/>
    <dgm:cxn modelId="{AC1B2B1F-AB70-4950-9CE8-B22830A18671}" type="presParOf" srcId="{25491ECF-4A66-42F1-8AA3-00082B855958}" destId="{F5A3E357-4324-493A-86ED-EC691E29B736}" srcOrd="3" destOrd="0" presId="urn:microsoft.com/office/officeart/2005/8/layout/hierarchy3"/>
    <dgm:cxn modelId="{56CC5368-7D69-4EB6-A9C1-1F10D4D49365}" type="presParOf" srcId="{25491ECF-4A66-42F1-8AA3-00082B855958}" destId="{84470C41-2082-4824-BBB4-B95E8D93278B}" srcOrd="4" destOrd="0" presId="urn:microsoft.com/office/officeart/2005/8/layout/hierarchy3"/>
    <dgm:cxn modelId="{D2D01928-4281-42BA-8F68-8DAF07F56A46}" type="presParOf" srcId="{25491ECF-4A66-42F1-8AA3-00082B855958}" destId="{20880763-E31A-490C-B414-77C0969A996D}" srcOrd="5" destOrd="0" presId="urn:microsoft.com/office/officeart/2005/8/layout/hierarchy3"/>
    <dgm:cxn modelId="{D24D7708-25B6-4597-8B0D-FAD0815CAF6D}" type="presParOf" srcId="{B388476D-662D-499E-86FF-075E40B9B116}" destId="{B5F88AEE-451A-4C5A-8D98-001CB6888185}" srcOrd="2" destOrd="0" presId="urn:microsoft.com/office/officeart/2005/8/layout/hierarchy3"/>
    <dgm:cxn modelId="{D9D6B1D7-0D2A-4BCF-93C5-4AD527BC9E4D}" type="presParOf" srcId="{B5F88AEE-451A-4C5A-8D98-001CB6888185}" destId="{CE3720F1-9340-4685-87FD-D50F37CC033B}" srcOrd="0" destOrd="0" presId="urn:microsoft.com/office/officeart/2005/8/layout/hierarchy3"/>
    <dgm:cxn modelId="{6A65C623-D737-4356-8633-8F423AEEF61D}" type="presParOf" srcId="{CE3720F1-9340-4685-87FD-D50F37CC033B}" destId="{A52CC481-1E94-45D5-998C-116D7F06F43C}" srcOrd="0" destOrd="0" presId="urn:microsoft.com/office/officeart/2005/8/layout/hierarchy3"/>
    <dgm:cxn modelId="{1E3540BD-8ABD-44C2-AE37-04E27E9F7BC9}" type="presParOf" srcId="{CE3720F1-9340-4685-87FD-D50F37CC033B}" destId="{FA81A31F-68B4-47C4-B547-823393526F80}" srcOrd="1" destOrd="0" presId="urn:microsoft.com/office/officeart/2005/8/layout/hierarchy3"/>
    <dgm:cxn modelId="{95173548-ACF4-4045-BB25-922561A3D3DB}" type="presParOf" srcId="{B5F88AEE-451A-4C5A-8D98-001CB6888185}" destId="{13D5A3C6-CE80-425E-9D29-FCD90E15EBB7}" srcOrd="1" destOrd="0" presId="urn:microsoft.com/office/officeart/2005/8/layout/hierarchy3"/>
    <dgm:cxn modelId="{DFFB29F2-74B7-4B56-A5F1-71DCF08A7F5F}" type="presParOf" srcId="{13D5A3C6-CE80-425E-9D29-FCD90E15EBB7}" destId="{EE9D00C4-D2C7-4FC5-8294-1E69973FB5F8}" srcOrd="0" destOrd="0" presId="urn:microsoft.com/office/officeart/2005/8/layout/hierarchy3"/>
    <dgm:cxn modelId="{7DE250C2-8070-41C4-8BF9-5B561CA9E94F}" type="presParOf" srcId="{13D5A3C6-CE80-425E-9D29-FCD90E15EBB7}" destId="{5833CB5C-BF6D-4796-A3D1-E840B57D7143}" srcOrd="1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67188" y="0"/>
          <a:ext cx="2042918" cy="504653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faqtobrivi garemoebebi</a:t>
          </a:r>
        </a:p>
      </dsp:txBody>
      <dsp:txXfrm>
        <a:off x="81969" y="14781"/>
        <a:ext cx="2013356" cy="475091"/>
      </dsp:txXfrm>
    </dsp:sp>
    <dsp:sp modelId="{E401CA66-E0CC-4580-B865-916053515C0A}">
      <dsp:nvSpPr>
        <dsp:cNvPr id="0" name=""/>
        <dsp:cNvSpPr/>
      </dsp:nvSpPr>
      <dsp:spPr>
        <a:xfrm>
          <a:off x="271480" y="504653"/>
          <a:ext cx="130414" cy="10872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7257"/>
              </a:lnTo>
              <a:lnTo>
                <a:pt x="130414" y="10872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2E3CA8-4633-4F6E-956E-8D77AF0B9A67}">
      <dsp:nvSpPr>
        <dsp:cNvPr id="0" name=""/>
        <dsp:cNvSpPr/>
      </dsp:nvSpPr>
      <dsp:spPr>
        <a:xfrm>
          <a:off x="401895" y="646155"/>
          <a:ext cx="2057576" cy="18915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a-GE" sz="1000" b="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b="0" kern="1200">
              <a:solidFill>
                <a:sysClr val="windowText" lastClr="000000"/>
              </a:solidFill>
            </a:rPr>
            <a:t>საწარმოს  100 % წილის </a:t>
          </a:r>
          <a:r>
            <a:rPr lang="ka-GE" sz="1000" b="0" kern="1200"/>
            <a:t>მფლობელი დამფუძნებლისგან (რომელიც ამავდროულად დაქირავებული პირია) შეძენილი აქვს შენობა-ნაგებობა 900 000 ლარად.შენობა-ნაგებობის ღირებულება საწარმოს სრულად აქვს  გამოქვითული სსკ-ის 112-ე (ძვ. 183(13) მუხლის მიხედვით.</a:t>
          </a:r>
          <a:endParaRPr lang="en-US" sz="1000" b="0" kern="1200">
            <a:latin typeface="AcadNusx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0" kern="1200">
            <a:latin typeface="AcadNusx" pitchFamily="2" charset="0"/>
          </a:endParaRPr>
        </a:p>
      </dsp:txBody>
      <dsp:txXfrm>
        <a:off x="457295" y="701555"/>
        <a:ext cx="1946776" cy="1780711"/>
      </dsp:txXfrm>
    </dsp:sp>
    <dsp:sp modelId="{F1317D2F-48EA-4414-B8C3-0F0DF1020FA4}">
      <dsp:nvSpPr>
        <dsp:cNvPr id="0" name=""/>
        <dsp:cNvSpPr/>
      </dsp:nvSpPr>
      <dsp:spPr>
        <a:xfrm>
          <a:off x="271480" y="504653"/>
          <a:ext cx="188640" cy="28269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6921"/>
              </a:lnTo>
              <a:lnTo>
                <a:pt x="188640" y="28269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6254-EAD0-4311-851E-F063E7192781}">
      <dsp:nvSpPr>
        <dsp:cNvPr id="0" name=""/>
        <dsp:cNvSpPr/>
      </dsp:nvSpPr>
      <dsp:spPr>
        <a:xfrm>
          <a:off x="460121" y="2713123"/>
          <a:ext cx="2099288" cy="12369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/>
            <a:t>ექსპერტიზით დგინდება, რომ შენობა-ნაგებობის საბაზრო ღირებულება შეადგენს  600 000 ლარს, ამასთან აღნიშნული შენობა-ნაგებობა დამფუძნებლის მიერ შეძენილია მიწოდებამდე 3 წლით ადრე 400 000 ლარად</a:t>
          </a:r>
          <a:endParaRPr lang="en-US" sz="1100" kern="1200"/>
        </a:p>
      </dsp:txBody>
      <dsp:txXfrm>
        <a:off x="496349" y="2749351"/>
        <a:ext cx="2026832" cy="1164447"/>
      </dsp:txXfrm>
    </dsp:sp>
    <dsp:sp modelId="{2096E6A2-5A14-45A7-9E69-D9E3507BDD8D}">
      <dsp:nvSpPr>
        <dsp:cNvPr id="0" name=""/>
        <dsp:cNvSpPr/>
      </dsp:nvSpPr>
      <dsp:spPr>
        <a:xfrm>
          <a:off x="271480" y="504653"/>
          <a:ext cx="224133" cy="42085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8571"/>
              </a:lnTo>
              <a:lnTo>
                <a:pt x="224133" y="42085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B83ECC-B866-433D-91ED-660B30CE8941}">
      <dsp:nvSpPr>
        <dsp:cNvPr id="0" name=""/>
        <dsp:cNvSpPr/>
      </dsp:nvSpPr>
      <dsp:spPr>
        <a:xfrm>
          <a:off x="495614" y="4160765"/>
          <a:ext cx="2054903" cy="1104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ka-GE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/>
            <a:t>ფიზიკური პირის მიერ  შენობა-ნაგებობის მიწოდებით მიღებული შემოსავალი არ იქნა დაბეგრილი სსკ-ის 82(1ვ)-ე (ძვ.168-ე) მუხლის გათვალისწინებით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rgbClr val="FF0000"/>
            </a:solidFill>
          </a:endParaRPr>
        </a:p>
      </dsp:txBody>
      <dsp:txXfrm>
        <a:off x="527976" y="4193127"/>
        <a:ext cx="1990179" cy="1040194"/>
      </dsp:txXfrm>
    </dsp:sp>
    <dsp:sp modelId="{F50D1A34-FDFE-4CB4-A430-9B57BD4DB09A}">
      <dsp:nvSpPr>
        <dsp:cNvPr id="0" name=""/>
        <dsp:cNvSpPr/>
      </dsp:nvSpPr>
      <dsp:spPr>
        <a:xfrm>
          <a:off x="271480" y="504653"/>
          <a:ext cx="258100" cy="5334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34709"/>
              </a:lnTo>
              <a:lnTo>
                <a:pt x="258100" y="53347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6FBFD1-B77F-419C-A0AD-DA219C81D27B}">
      <dsp:nvSpPr>
        <dsp:cNvPr id="0" name=""/>
        <dsp:cNvSpPr/>
      </dsp:nvSpPr>
      <dsp:spPr>
        <a:xfrm>
          <a:off x="529580" y="5474527"/>
          <a:ext cx="2062079" cy="7296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>
              <a:solidFill>
                <a:sysClr val="windowText" lastClr="000000"/>
              </a:solidFill>
            </a:rPr>
            <a:t>მიწოდების პერიოდის მიხედვით საწარმოს გაუნაწილებელი მოგება  შეადგენს 400 000 ლარს</a:t>
          </a:r>
        </a:p>
      </dsp:txBody>
      <dsp:txXfrm>
        <a:off x="550951" y="5495898"/>
        <a:ext cx="2019337" cy="686930"/>
      </dsp:txXfrm>
    </dsp:sp>
    <dsp:sp modelId="{CCF1B5AD-441C-4182-AB14-F5EBF8654620}">
      <dsp:nvSpPr>
        <dsp:cNvPr id="0" name=""/>
        <dsp:cNvSpPr/>
      </dsp:nvSpPr>
      <dsp:spPr>
        <a:xfrm>
          <a:off x="2360022" y="0"/>
          <a:ext cx="2736163" cy="493757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Sefaseba</a:t>
          </a:r>
        </a:p>
      </dsp:txBody>
      <dsp:txXfrm>
        <a:off x="2374484" y="14462"/>
        <a:ext cx="2707239" cy="464833"/>
      </dsp:txXfrm>
    </dsp:sp>
    <dsp:sp modelId="{584661F5-5507-495B-A407-8A7C5FB47BFB}">
      <dsp:nvSpPr>
        <dsp:cNvPr id="0" name=""/>
        <dsp:cNvSpPr/>
      </dsp:nvSpPr>
      <dsp:spPr>
        <a:xfrm>
          <a:off x="2633638" y="493757"/>
          <a:ext cx="218315" cy="745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5054"/>
              </a:lnTo>
              <a:lnTo>
                <a:pt x="218315" y="7450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180F8-985E-43C1-93D2-0134FBDCA749}">
      <dsp:nvSpPr>
        <dsp:cNvPr id="0" name=""/>
        <dsp:cNvSpPr/>
      </dsp:nvSpPr>
      <dsp:spPr>
        <a:xfrm>
          <a:off x="2851954" y="669819"/>
          <a:ext cx="2389745" cy="11379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/>
            <a:t>ფაქტობრივი გარემოებების გათვალისწინებით, სსკ-ის მე-18 მუხლის საფუძველზე, აღნიშნული მიწოდების ფასი განისაზღვრება საბაზრო ღირებულებით (600 000 ლარი)</a:t>
          </a:r>
          <a:endParaRPr lang="en-US" sz="1000" kern="1200"/>
        </a:p>
      </dsp:txBody>
      <dsp:txXfrm>
        <a:off x="2885284" y="703149"/>
        <a:ext cx="2323085" cy="1071325"/>
      </dsp:txXfrm>
    </dsp:sp>
    <dsp:sp modelId="{5873286C-BE2C-4BDC-AB7F-83A56B85C3BA}">
      <dsp:nvSpPr>
        <dsp:cNvPr id="0" name=""/>
        <dsp:cNvSpPr/>
      </dsp:nvSpPr>
      <dsp:spPr>
        <a:xfrm>
          <a:off x="2633638" y="493757"/>
          <a:ext cx="200805" cy="20462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6237"/>
              </a:lnTo>
              <a:lnTo>
                <a:pt x="200805" y="20462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3E357-4324-493A-86ED-EC691E29B736}">
      <dsp:nvSpPr>
        <dsp:cNvPr id="0" name=""/>
        <dsp:cNvSpPr/>
      </dsp:nvSpPr>
      <dsp:spPr>
        <a:xfrm>
          <a:off x="2834444" y="2017555"/>
          <a:ext cx="2522388" cy="10448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/>
            <a:t>საწარმოს უნდა გამოექვითა შენობა ნაგებობის საბაზრო ფასი 600 000 ლარი, შესაბამისად 300 000 (900 000-600 000) ლარით გაზრდილია მიმდინარე წლის ერთობლივი შემოსავალიდან გამოსაქვითი ხარჯი</a:t>
          </a:r>
          <a:endParaRPr lang="en-US" sz="1000" kern="1200">
            <a:solidFill>
              <a:srgbClr val="FF0000"/>
            </a:solidFill>
          </a:endParaRPr>
        </a:p>
      </dsp:txBody>
      <dsp:txXfrm>
        <a:off x="2865047" y="2048158"/>
        <a:ext cx="2461182" cy="983674"/>
      </dsp:txXfrm>
    </dsp:sp>
    <dsp:sp modelId="{84470C41-2082-4824-BBB4-B95E8D93278B}">
      <dsp:nvSpPr>
        <dsp:cNvPr id="0" name=""/>
        <dsp:cNvSpPr/>
      </dsp:nvSpPr>
      <dsp:spPr>
        <a:xfrm>
          <a:off x="2633638" y="493757"/>
          <a:ext cx="223367" cy="33600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0044"/>
              </a:lnTo>
              <a:lnTo>
                <a:pt x="223367" y="33600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80763-E31A-490C-B414-77C0969A996D}">
      <dsp:nvSpPr>
        <dsp:cNvPr id="0" name=""/>
        <dsp:cNvSpPr/>
      </dsp:nvSpPr>
      <dsp:spPr>
        <a:xfrm>
          <a:off x="2857006" y="3309507"/>
          <a:ext cx="2451137" cy="10885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kern="1200"/>
            <a:t>საწარმოს მიერ ზედმეტად გაცემული თანხა 300 000 ლარი  ჩაითვლება დამფუძნებლის მიერ მიღებულ დივიდენდად  და დაიბეგრება სსკ-ის 130-ე (ძვ.195-ე) მუხლის შესაბამისად</a:t>
          </a:r>
          <a:endParaRPr lang="en-US" sz="1000" kern="1200"/>
        </a:p>
      </dsp:txBody>
      <dsp:txXfrm>
        <a:off x="2888890" y="3341391"/>
        <a:ext cx="2387369" cy="1024821"/>
      </dsp:txXfrm>
    </dsp:sp>
    <dsp:sp modelId="{A52CC481-1E94-45D5-998C-116D7F06F43C}">
      <dsp:nvSpPr>
        <dsp:cNvPr id="0" name=""/>
        <dsp:cNvSpPr/>
      </dsp:nvSpPr>
      <dsp:spPr>
        <a:xfrm>
          <a:off x="5243943" y="0"/>
          <a:ext cx="2087616" cy="501975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RonisZiebebi</a:t>
          </a:r>
        </a:p>
      </dsp:txBody>
      <dsp:txXfrm>
        <a:off x="5258645" y="14702"/>
        <a:ext cx="2058212" cy="472571"/>
      </dsp:txXfrm>
    </dsp:sp>
    <dsp:sp modelId="{EE9D00C4-D2C7-4FC5-8294-1E69973FB5F8}">
      <dsp:nvSpPr>
        <dsp:cNvPr id="0" name=""/>
        <dsp:cNvSpPr/>
      </dsp:nvSpPr>
      <dsp:spPr>
        <a:xfrm>
          <a:off x="5452705" y="501975"/>
          <a:ext cx="199151" cy="1120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514"/>
              </a:lnTo>
              <a:lnTo>
                <a:pt x="199151" y="11205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3CB5C-BF6D-4796-A3D1-E840B57D7143}">
      <dsp:nvSpPr>
        <dsp:cNvPr id="0" name=""/>
        <dsp:cNvSpPr/>
      </dsp:nvSpPr>
      <dsp:spPr>
        <a:xfrm>
          <a:off x="5651856" y="669700"/>
          <a:ext cx="1702050" cy="19055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a-GE" sz="1000" b="0" i="0" kern="1200">
              <a:latin typeface="AcadNusx" pitchFamily="2" charset="0"/>
            </a:rPr>
            <a:t>საწარმოს დაერიცხება კუთვნილი მოგებისა და </a:t>
          </a:r>
          <a:r>
            <a:rPr lang="ka-GE" sz="1000" b="0" i="0" kern="1200">
              <a:solidFill>
                <a:sysClr val="windowText" lastClr="000000"/>
              </a:solidFill>
              <a:latin typeface="AcadNusx" pitchFamily="2" charset="0"/>
            </a:rPr>
            <a:t>საშემოსავლო (დივიდენდთან მიმართებაში) გადასახადები. </a:t>
          </a:r>
          <a:r>
            <a:rPr lang="ka-GE" sz="1000" b="0" i="0" kern="1200">
              <a:latin typeface="AcadNusx" pitchFamily="2" charset="0"/>
            </a:rPr>
            <a:t>დეკლარაციაში გადასახადის თანხის შემცირების შემთხვევაში დაჯარიმდება სსკ-ის 275-ე (ძვ.132-ე) მუხლის შესაბამისად</a:t>
          </a:r>
          <a:endParaRPr lang="en-US" sz="1000" b="0" i="0" kern="1200">
            <a:latin typeface="AcadNusx" pitchFamily="2" charset="0"/>
          </a:endParaRPr>
        </a:p>
      </dsp:txBody>
      <dsp:txXfrm>
        <a:off x="5701707" y="719551"/>
        <a:ext cx="1602348" cy="18058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D9EC-47A6-4960-8611-D4089F55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Levan Chomakhidze</cp:lastModifiedBy>
  <cp:revision>78</cp:revision>
  <cp:lastPrinted>2012-07-19T14:27:00Z</cp:lastPrinted>
  <dcterms:created xsi:type="dcterms:W3CDTF">2012-05-07T13:25:00Z</dcterms:created>
  <dcterms:modified xsi:type="dcterms:W3CDTF">2012-07-19T14:27:00Z</dcterms:modified>
</cp:coreProperties>
</file>