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27" w:rsidRDefault="001B47F9" w:rsidP="008B6527">
      <w:pPr>
        <w:ind w:left="-1260"/>
        <w:rPr>
          <w:rFonts w:ascii="Sylfaen" w:hAnsi="Sylfaen"/>
          <w:lang w:val="ka-GE"/>
        </w:rPr>
      </w:pPr>
      <w:bookmarkStart w:id="0" w:name="_GoBack"/>
      <w:r w:rsidRPr="001B47F9">
        <w:rPr>
          <w:noProof/>
        </w:rPr>
        <w:drawing>
          <wp:inline distT="0" distB="0" distL="0" distR="0" wp14:anchorId="70D18B41" wp14:editId="31D8334D">
            <wp:extent cx="7505700" cy="60579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</w:p>
    <w:p w:rsidR="0081567B" w:rsidRDefault="0081567B" w:rsidP="0081567B">
      <w:pPr>
        <w:ind w:left="-1260"/>
        <w:rPr>
          <w:rFonts w:ascii="Sylfaen" w:hAnsi="Sylfaen"/>
          <w:lang w:val="ka-GE"/>
        </w:rPr>
      </w:pPr>
    </w:p>
    <w:sectPr w:rsidR="0081567B" w:rsidSect="008567DB">
      <w:headerReference w:type="default" r:id="rId13"/>
      <w:footerReference w:type="default" r:id="rId14"/>
      <w:pgSz w:w="12240" w:h="15840"/>
      <w:pgMar w:top="126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2A" w:rsidRDefault="0029512A" w:rsidP="00F92800">
      <w:pPr>
        <w:spacing w:after="0" w:line="240" w:lineRule="auto"/>
      </w:pPr>
      <w:r>
        <w:separator/>
      </w:r>
    </w:p>
  </w:endnote>
  <w:endnote w:type="continuationSeparator" w:id="0">
    <w:p w:rsidR="0029512A" w:rsidRDefault="0029512A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DB" w:rsidRPr="000E64B0" w:rsidRDefault="008567DB" w:rsidP="008567DB">
    <w:pPr>
      <w:pStyle w:val="Footer"/>
      <w:jc w:val="center"/>
      <w:rPr>
        <w:rFonts w:ascii="Sylfaen" w:hAnsi="Sylfaen"/>
        <w:lang w:val="ka-GE"/>
      </w:rPr>
    </w:pPr>
    <w:r>
      <w:rPr>
        <w:rFonts w:ascii="Sylfaen" w:hAnsi="Sylfaen"/>
        <w:b/>
        <w:i/>
        <w:color w:val="000000" w:themeColor="text1"/>
        <w:sz w:val="18"/>
        <w:szCs w:val="18"/>
        <w:lang w:val="ka-GE"/>
      </w:rPr>
      <w:t>სახელმძღვანელო დამტკიცებულია 2011 წლის 24 ივნისისათვის მოქმედი საგადასახადო კანონმდებლობის მიხედვით და ვრცელდება წინა საგადასახადო პერიოდებზეც.</w:t>
    </w:r>
  </w:p>
  <w:p w:rsidR="008567DB" w:rsidRDefault="00856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2A" w:rsidRDefault="0029512A" w:rsidP="00F92800">
      <w:pPr>
        <w:spacing w:after="0" w:line="240" w:lineRule="auto"/>
      </w:pPr>
      <w:r>
        <w:separator/>
      </w:r>
    </w:p>
  </w:footnote>
  <w:footnote w:type="continuationSeparator" w:id="0">
    <w:p w:rsidR="0029512A" w:rsidRDefault="0029512A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8B6527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აუქციონზე აქტივის შეძენა 0704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4BE4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512A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10A0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567B"/>
    <w:rsid w:val="008162E2"/>
    <w:rsid w:val="008243AF"/>
    <w:rsid w:val="00842228"/>
    <w:rsid w:val="00845BBA"/>
    <w:rsid w:val="00854DDA"/>
    <w:rsid w:val="008567DB"/>
    <w:rsid w:val="00860067"/>
    <w:rsid w:val="00881C41"/>
    <w:rsid w:val="00893650"/>
    <w:rsid w:val="00896E5E"/>
    <w:rsid w:val="00896FBE"/>
    <w:rsid w:val="008A64B0"/>
    <w:rsid w:val="008B20F0"/>
    <w:rsid w:val="008B6527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6256E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აუქციონზე გასასხვისებული ქონების  საწყისი საბალანსო ღირებულება დაფიქსირდა 1 000 ლარი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I</a:t>
          </a:r>
          <a:r>
            <a:rPr lang="ka-GE" sz="1100">
              <a:latin typeface="Sylfaen" pitchFamily="18" charset="0"/>
            </a:rPr>
            <a:t> ვარიანტი</a:t>
          </a:r>
        </a:p>
        <a:p>
          <a:r>
            <a:rPr lang="ka-GE" sz="1100">
              <a:latin typeface="Sylfaen" pitchFamily="18" charset="0"/>
            </a:rPr>
            <a:t>მყიდველმა ეს ქონება აუქციონზე შეიძინა 3 000  ლარად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II</a:t>
          </a:r>
          <a:r>
            <a:rPr lang="ka-GE" sz="1100">
              <a:latin typeface="Sylfaen" pitchFamily="18" charset="0"/>
            </a:rPr>
            <a:t> ვარიანტში</a:t>
          </a:r>
        </a:p>
        <a:p>
          <a:r>
            <a:rPr lang="ka-GE" sz="1100">
              <a:latin typeface="Sylfaen" pitchFamily="18" charset="0"/>
            </a:rPr>
            <a:t>-მყიდველს სარგებლად არ ჩაეთვლება სხვაობა საწყის ფასსა და შეძენის ფასს შორის (300 ლარი)</a:t>
          </a:r>
        </a:p>
        <a:p>
          <a:r>
            <a:rPr lang="ka-GE" sz="1100">
              <a:latin typeface="Sylfaen" pitchFamily="18" charset="0"/>
            </a:rPr>
            <a:t>-გამყიდველს საბაზრო ფასად მიწოდებად არ ჩაეთვლება ქონების რეალიზაცია, რადგან ურთიერთდამოკიდებულება გავლენას ვერ მოახდენდა შეძენის ფასზე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en-US" sz="1100" b="0" i="0">
              <a:latin typeface="Sylfaen" pitchFamily="18" charset="0"/>
            </a:rPr>
            <a:t>II</a:t>
          </a:r>
          <a:r>
            <a:rPr lang="ka-GE" sz="1100" b="0" i="0">
              <a:latin typeface="Sylfaen" pitchFamily="18" charset="0"/>
            </a:rPr>
            <a:t> ვარიანტში</a:t>
          </a:r>
        </a:p>
        <a:p>
          <a:r>
            <a:rPr lang="ka-GE" sz="1100" b="0" i="0">
              <a:latin typeface="Sylfaen" pitchFamily="18" charset="0"/>
            </a:rPr>
            <a:t>პირის ქმედებაში საგადასახადო სამართალდარღვევა არ იკვეთება და დამატებითი საგადასახადო ვალდებულების დაკისრება არ ხდება </a:t>
          </a: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5276AB-2B37-4F03-80CB-53681018626A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II</a:t>
          </a:r>
          <a:r>
            <a:rPr lang="ka-GE" sz="1100">
              <a:latin typeface="Sylfaen" pitchFamily="18" charset="0"/>
            </a:rPr>
            <a:t> ვარიანტი</a:t>
          </a:r>
        </a:p>
        <a:p>
          <a:r>
            <a:rPr lang="ka-GE" sz="1100">
              <a:latin typeface="Sylfaen" pitchFamily="18" charset="0"/>
            </a:rPr>
            <a:t>მყიდველმა, რომელიც ურთიერთდამოკიდებული პირია, ეს ქონება აუქციონზე შეიძინა 700 ლარად, ხოლო სხვაობა - 300 ლარი არ ასახა ერთობლივ შემოსავალში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5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5" custScaleX="186908" custScaleY="226748" custLinFactNeighborX="17767" custLinFactNeighborY="-864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5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5" custScaleX="197822" custScaleY="175093" custLinFactNeighborX="16979" custLinFactNeighborY="-891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5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5" custScaleX="208338" custScaleY="279130" custLinFactNeighborX="16052" custLinFactNeighborY="-878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3" presStyleCnt="5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3" presStyleCnt="5" custScaleX="216990" custScaleY="386919" custLinFactNeighborX="-14331" custLinFactNeighborY="-791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4" presStyleCnt="5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4" presStyleCnt="5" custScaleX="179542" custScaleY="311776" custLinFactNeighborX="-18011" custLinFactNeighborY="-728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FCF09073-362D-4ADB-8792-EB88C6D2D06F}" type="presOf" srcId="{9EB67732-3D77-4837-997C-BE4062F9BB54}" destId="{6BDC0A78-E0F7-49BA-94F7-90F8325464B0}" srcOrd="0" destOrd="0" presId="urn:microsoft.com/office/officeart/2005/8/layout/hierarchy3"/>
    <dgm:cxn modelId="{C231B23F-9D87-4787-ADD8-EA8E8433BB99}" type="presOf" srcId="{AF2C8C0F-097D-4DC9-9C67-E8D19F634135}" destId="{B388476D-662D-499E-86FF-075E40B9B116}" srcOrd="0" destOrd="0" presId="urn:microsoft.com/office/officeart/2005/8/layout/hierarchy3"/>
    <dgm:cxn modelId="{55C73DFD-4913-4B18-BA46-63030600C7C4}" type="presOf" srcId="{EC4D90D5-A3B7-4A12-88DA-77AA7E9A9696}" destId="{502E3CA8-4633-4F6E-956E-8D77AF0B9A67}" srcOrd="0" destOrd="0" presId="urn:microsoft.com/office/officeart/2005/8/layout/hierarchy3"/>
    <dgm:cxn modelId="{E7C3A1B7-6499-46CD-B9AA-F52E295AC741}" type="presOf" srcId="{B4D11B42-E642-4237-B8F9-795C9B3B1616}" destId="{5833CB5C-BF6D-4796-A3D1-E840B57D7143}" srcOrd="0" destOrd="0" presId="urn:microsoft.com/office/officeart/2005/8/layout/hierarchy3"/>
    <dgm:cxn modelId="{7E932949-533B-4F95-9044-9B881D8B9F33}" type="presOf" srcId="{33991C9A-45FF-4E3A-85EA-5775C1E59D36}" destId="{811180F8-985E-43C1-93D2-0134FBDCA749}" srcOrd="0" destOrd="0" presId="urn:microsoft.com/office/officeart/2005/8/layout/hierarchy3"/>
    <dgm:cxn modelId="{0E55571B-FF96-4CD0-82DE-621A8A2753AF}" type="presOf" srcId="{2A593D08-6C4F-4893-8DEF-0F179E451227}" destId="{06166254-EAD0-4311-851E-F063E7192781}" srcOrd="0" destOrd="0" presId="urn:microsoft.com/office/officeart/2005/8/layout/hierarchy3"/>
    <dgm:cxn modelId="{9CFFE126-F373-4006-A177-854257D03693}" type="presOf" srcId="{0864151C-55A8-4402-A51E-35DDE1DCFDCF}" destId="{CCF1B5AD-441C-4182-AB14-F5EBF8654620}" srcOrd="0" destOrd="0" presId="urn:microsoft.com/office/officeart/2005/8/layout/hierarchy3"/>
    <dgm:cxn modelId="{83369A84-47CF-4B57-8AA3-24EF103DFE7E}" type="presOf" srcId="{6EDDC9A4-7743-45A1-A47F-DDC8AA334378}" destId="{1A83EF98-3231-40EA-B1D6-7E43DBA651A6}" srcOrd="0" destOrd="0" presId="urn:microsoft.com/office/officeart/2005/8/layout/hierarchy3"/>
    <dgm:cxn modelId="{9B9C798D-18FC-409E-B0BC-051231620945}" type="presOf" srcId="{F528A14A-AF5E-44E4-A87B-FFE84FA0635C}" destId="{584661F5-5507-495B-A407-8A7C5FB47BFB}" srcOrd="0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089AE064-29D6-436D-BD2C-D4127E90BD16}" type="presOf" srcId="{02B9985B-7F57-43D5-A167-ED9248916466}" destId="{E401CA66-E0CC-4580-B865-916053515C0A}" srcOrd="0" destOrd="0" presId="urn:microsoft.com/office/officeart/2005/8/layout/hierarchy3"/>
    <dgm:cxn modelId="{6D7FAA2F-3533-495F-88F9-1BFE041CF13D}" type="presOf" srcId="{0864151C-55A8-4402-A51E-35DDE1DCFDCF}" destId="{F5A8D68E-1317-4112-8179-3D951CA9F398}" srcOrd="1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98A54BC1-B89D-4E0C-A495-415D95A345B6}" type="presOf" srcId="{6EDDC9A4-7743-45A1-A47F-DDC8AA334378}" destId="{8E010497-E5A8-4319-AFB0-5D34092ECD88}" srcOrd="1" destOrd="0" presId="urn:microsoft.com/office/officeart/2005/8/layout/hierarchy3"/>
    <dgm:cxn modelId="{3BDC4109-061B-4F89-A776-AC7B8986C63A}" type="presOf" srcId="{E40EDAB5-D188-4812-A61A-95A9AC19C0AE}" destId="{FA81A31F-68B4-47C4-B547-823393526F80}" srcOrd="1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BE34D7F5-5F4C-40F2-AB5E-0629766F5F43}" type="presOf" srcId="{E40EDAB5-D188-4812-A61A-95A9AC19C0AE}" destId="{A52CC481-1E94-45D5-998C-116D7F06F43C}" srcOrd="0" destOrd="0" presId="urn:microsoft.com/office/officeart/2005/8/layout/hierarchy3"/>
    <dgm:cxn modelId="{0D7E17DC-E552-405B-8E99-1235C8FCE7B8}" type="presOf" srcId="{63BFCA6C-BEC4-435A-8E72-0F4C0248610F}" destId="{EE9D00C4-D2C7-4FC5-8294-1E69973FB5F8}" srcOrd="0" destOrd="0" presId="urn:microsoft.com/office/officeart/2005/8/layout/hierarchy3"/>
    <dgm:cxn modelId="{DC8B7929-0A5A-4B40-9611-242E6C2D8DBF}" type="presOf" srcId="{C05276AB-2B37-4F03-80CB-53681018626A}" destId="{A0FCCB2E-3A45-460E-890E-5C6DC46BDDA2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73E36D43-F123-47FA-A9F1-DE9A1BC6C184}" type="presOf" srcId="{C902E2DB-BEC8-4856-BA4D-E8C3C7168B79}" destId="{F1317D2F-48EA-4414-B8C3-0F0DF1020FA4}" srcOrd="0" destOrd="0" presId="urn:microsoft.com/office/officeart/2005/8/layout/hierarchy3"/>
    <dgm:cxn modelId="{5612B2E8-3A39-4F2E-ACAC-7673280AC7CB}" type="presParOf" srcId="{B388476D-662D-499E-86FF-075E40B9B116}" destId="{4CCE11F2-9671-4C6B-9F76-2C10D78361EF}" srcOrd="0" destOrd="0" presId="urn:microsoft.com/office/officeart/2005/8/layout/hierarchy3"/>
    <dgm:cxn modelId="{9099FB03-3675-4A4C-A1BD-47DA73484776}" type="presParOf" srcId="{4CCE11F2-9671-4C6B-9F76-2C10D78361EF}" destId="{C557614C-F630-4D5F-BE22-AB9FC945D279}" srcOrd="0" destOrd="0" presId="urn:microsoft.com/office/officeart/2005/8/layout/hierarchy3"/>
    <dgm:cxn modelId="{7F0BF359-293E-44A6-A62E-1463FB53E484}" type="presParOf" srcId="{C557614C-F630-4D5F-BE22-AB9FC945D279}" destId="{1A83EF98-3231-40EA-B1D6-7E43DBA651A6}" srcOrd="0" destOrd="0" presId="urn:microsoft.com/office/officeart/2005/8/layout/hierarchy3"/>
    <dgm:cxn modelId="{B514329F-AEBE-4338-A874-794EB8016247}" type="presParOf" srcId="{C557614C-F630-4D5F-BE22-AB9FC945D279}" destId="{8E010497-E5A8-4319-AFB0-5D34092ECD88}" srcOrd="1" destOrd="0" presId="urn:microsoft.com/office/officeart/2005/8/layout/hierarchy3"/>
    <dgm:cxn modelId="{B6C164B5-C976-4C6E-99A4-CDA68741F276}" type="presParOf" srcId="{4CCE11F2-9671-4C6B-9F76-2C10D78361EF}" destId="{2F8125D7-8EE8-4988-87E0-9DDFA76BED4A}" srcOrd="1" destOrd="0" presId="urn:microsoft.com/office/officeart/2005/8/layout/hierarchy3"/>
    <dgm:cxn modelId="{88488470-53DB-48ED-AE36-5BAF7313C2CD}" type="presParOf" srcId="{2F8125D7-8EE8-4988-87E0-9DDFA76BED4A}" destId="{E401CA66-E0CC-4580-B865-916053515C0A}" srcOrd="0" destOrd="0" presId="urn:microsoft.com/office/officeart/2005/8/layout/hierarchy3"/>
    <dgm:cxn modelId="{AA62866B-13B1-4483-AA2B-14D1B2E29A98}" type="presParOf" srcId="{2F8125D7-8EE8-4988-87E0-9DDFA76BED4A}" destId="{502E3CA8-4633-4F6E-956E-8D77AF0B9A67}" srcOrd="1" destOrd="0" presId="urn:microsoft.com/office/officeart/2005/8/layout/hierarchy3"/>
    <dgm:cxn modelId="{028DA6C6-E157-483E-921B-B069103A80A8}" type="presParOf" srcId="{2F8125D7-8EE8-4988-87E0-9DDFA76BED4A}" destId="{F1317D2F-48EA-4414-B8C3-0F0DF1020FA4}" srcOrd="2" destOrd="0" presId="urn:microsoft.com/office/officeart/2005/8/layout/hierarchy3"/>
    <dgm:cxn modelId="{0F7876B5-68FF-4B4B-900D-73F04743DE9C}" type="presParOf" srcId="{2F8125D7-8EE8-4988-87E0-9DDFA76BED4A}" destId="{06166254-EAD0-4311-851E-F063E7192781}" srcOrd="3" destOrd="0" presId="urn:microsoft.com/office/officeart/2005/8/layout/hierarchy3"/>
    <dgm:cxn modelId="{34FBCA10-5F3B-4C00-92A0-6C79A95BDE97}" type="presParOf" srcId="{2F8125D7-8EE8-4988-87E0-9DDFA76BED4A}" destId="{6BDC0A78-E0F7-49BA-94F7-90F8325464B0}" srcOrd="4" destOrd="0" presId="urn:microsoft.com/office/officeart/2005/8/layout/hierarchy3"/>
    <dgm:cxn modelId="{50195BF4-8AC6-4C15-B7E4-3C77BEE27A1E}" type="presParOf" srcId="{2F8125D7-8EE8-4988-87E0-9DDFA76BED4A}" destId="{A0FCCB2E-3A45-460E-890E-5C6DC46BDDA2}" srcOrd="5" destOrd="0" presId="urn:microsoft.com/office/officeart/2005/8/layout/hierarchy3"/>
    <dgm:cxn modelId="{B9D032E9-9FD8-4DFB-A101-CF68F777CA7E}" type="presParOf" srcId="{B388476D-662D-499E-86FF-075E40B9B116}" destId="{2FB5DE3C-867A-44B8-89CD-BAF599600FD9}" srcOrd="1" destOrd="0" presId="urn:microsoft.com/office/officeart/2005/8/layout/hierarchy3"/>
    <dgm:cxn modelId="{1AC47F3C-E9DB-47D4-89AE-C3F87699B8F0}" type="presParOf" srcId="{2FB5DE3C-867A-44B8-89CD-BAF599600FD9}" destId="{9DE9E381-FFCB-4D13-B9AA-C091B657A585}" srcOrd="0" destOrd="0" presId="urn:microsoft.com/office/officeart/2005/8/layout/hierarchy3"/>
    <dgm:cxn modelId="{7BE65203-8B24-4C9F-9BC4-B8A317B439B7}" type="presParOf" srcId="{9DE9E381-FFCB-4D13-B9AA-C091B657A585}" destId="{CCF1B5AD-441C-4182-AB14-F5EBF8654620}" srcOrd="0" destOrd="0" presId="urn:microsoft.com/office/officeart/2005/8/layout/hierarchy3"/>
    <dgm:cxn modelId="{23478121-EFD2-4F39-8B09-FDBAFF826A63}" type="presParOf" srcId="{9DE9E381-FFCB-4D13-B9AA-C091B657A585}" destId="{F5A8D68E-1317-4112-8179-3D951CA9F398}" srcOrd="1" destOrd="0" presId="urn:microsoft.com/office/officeart/2005/8/layout/hierarchy3"/>
    <dgm:cxn modelId="{EA46F733-9492-466A-98DA-3759DDB4316E}" type="presParOf" srcId="{2FB5DE3C-867A-44B8-89CD-BAF599600FD9}" destId="{25491ECF-4A66-42F1-8AA3-00082B855958}" srcOrd="1" destOrd="0" presId="urn:microsoft.com/office/officeart/2005/8/layout/hierarchy3"/>
    <dgm:cxn modelId="{06D81ECF-F8BC-49E2-BDC1-905B0EF5A8BE}" type="presParOf" srcId="{25491ECF-4A66-42F1-8AA3-00082B855958}" destId="{584661F5-5507-495B-A407-8A7C5FB47BFB}" srcOrd="0" destOrd="0" presId="urn:microsoft.com/office/officeart/2005/8/layout/hierarchy3"/>
    <dgm:cxn modelId="{CC51BF49-9C57-44A8-8D85-39EB79AAF11F}" type="presParOf" srcId="{25491ECF-4A66-42F1-8AA3-00082B855958}" destId="{811180F8-985E-43C1-93D2-0134FBDCA749}" srcOrd="1" destOrd="0" presId="urn:microsoft.com/office/officeart/2005/8/layout/hierarchy3"/>
    <dgm:cxn modelId="{984B5E29-A220-451D-A2B4-C2F05CD237C6}" type="presParOf" srcId="{B388476D-662D-499E-86FF-075E40B9B116}" destId="{B5F88AEE-451A-4C5A-8D98-001CB6888185}" srcOrd="2" destOrd="0" presId="urn:microsoft.com/office/officeart/2005/8/layout/hierarchy3"/>
    <dgm:cxn modelId="{18494B13-804E-45EE-B0EE-F845EE001FDF}" type="presParOf" srcId="{B5F88AEE-451A-4C5A-8D98-001CB6888185}" destId="{CE3720F1-9340-4685-87FD-D50F37CC033B}" srcOrd="0" destOrd="0" presId="urn:microsoft.com/office/officeart/2005/8/layout/hierarchy3"/>
    <dgm:cxn modelId="{DFAD4AAF-0D0E-4D26-8817-B517BFEE1436}" type="presParOf" srcId="{CE3720F1-9340-4685-87FD-D50F37CC033B}" destId="{A52CC481-1E94-45D5-998C-116D7F06F43C}" srcOrd="0" destOrd="0" presId="urn:microsoft.com/office/officeart/2005/8/layout/hierarchy3"/>
    <dgm:cxn modelId="{0F014C3D-BF6A-4D99-AAEF-E97A8AEF9C61}" type="presParOf" srcId="{CE3720F1-9340-4685-87FD-D50F37CC033B}" destId="{FA81A31F-68B4-47C4-B547-823393526F80}" srcOrd="1" destOrd="0" presId="urn:microsoft.com/office/officeart/2005/8/layout/hierarchy3"/>
    <dgm:cxn modelId="{7DB41EBF-B119-48E5-BC16-9281B3139BEC}" type="presParOf" srcId="{B5F88AEE-451A-4C5A-8D98-001CB6888185}" destId="{13D5A3C6-CE80-425E-9D29-FCD90E15EBB7}" srcOrd="1" destOrd="0" presId="urn:microsoft.com/office/officeart/2005/8/layout/hierarchy3"/>
    <dgm:cxn modelId="{DD1DAED3-C7F0-4DFA-9592-CE7285374187}" type="presParOf" srcId="{13D5A3C6-CE80-425E-9D29-FCD90E15EBB7}" destId="{EE9D00C4-D2C7-4FC5-8294-1E69973FB5F8}" srcOrd="0" destOrd="0" presId="urn:microsoft.com/office/officeart/2005/8/layout/hierarchy3"/>
    <dgm:cxn modelId="{5BC58968-E76F-418C-8566-959D4717B7EE}" type="presParOf" srcId="{13D5A3C6-CE80-425E-9D29-FCD90E15EBB7}" destId="{5833CB5C-BF6D-4796-A3D1-E840B57D7143}" srcOrd="1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04908"/>
          <a:ext cx="172758" cy="843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3537"/>
              </a:lnTo>
              <a:lnTo>
                <a:pt x="172758" y="843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82687" y="676369"/>
          <a:ext cx="1772774" cy="1344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აუქციონზე გასასხვისებული ქონების  საწყისი საბალანსო ღირებულება დაფიქსირდა 1 000 ლარი</a:t>
          </a:r>
          <a:endParaRPr lang="en-US" sz="1100" b="0" kern="1200">
            <a:latin typeface="Sylfaen" pitchFamily="18" charset="0"/>
          </a:endParaRPr>
        </a:p>
      </dsp:txBody>
      <dsp:txXfrm>
        <a:off x="622056" y="715738"/>
        <a:ext cx="1694036" cy="1265415"/>
      </dsp:txXfrm>
    </dsp:sp>
    <dsp:sp modelId="{F1317D2F-48EA-4414-B8C3-0F0DF1020FA4}">
      <dsp:nvSpPr>
        <dsp:cNvPr id="0" name=""/>
        <dsp:cNvSpPr/>
      </dsp:nvSpPr>
      <dsp:spPr>
        <a:xfrm>
          <a:off x="409928" y="504908"/>
          <a:ext cx="165284" cy="2166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6715"/>
              </a:lnTo>
              <a:lnTo>
                <a:pt x="165284" y="21667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75213" y="2152651"/>
          <a:ext cx="1876290" cy="10379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I</a:t>
          </a:r>
          <a:r>
            <a:rPr lang="ka-GE" sz="1100" kern="1200">
              <a:latin typeface="Sylfaen" pitchFamily="18" charset="0"/>
            </a:rPr>
            <a:t> ვარიანტი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მყიდველმა ეს ქონება აუქციონზე შეიძინა 3 000  ლარად</a:t>
          </a:r>
          <a:endParaRPr lang="en-US" sz="1100" kern="1200">
            <a:latin typeface="Sylfaen" pitchFamily="18" charset="0"/>
          </a:endParaRPr>
        </a:p>
      </dsp:txBody>
      <dsp:txXfrm>
        <a:off x="605613" y="2183051"/>
        <a:ext cx="1815490" cy="977144"/>
      </dsp:txXfrm>
    </dsp:sp>
    <dsp:sp modelId="{6BDC0A78-E0F7-49BA-94F7-90F8325464B0}">
      <dsp:nvSpPr>
        <dsp:cNvPr id="0" name=""/>
        <dsp:cNvSpPr/>
      </dsp:nvSpPr>
      <dsp:spPr>
        <a:xfrm>
          <a:off x="409928" y="504908"/>
          <a:ext cx="156492" cy="3669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9054"/>
              </a:lnTo>
              <a:lnTo>
                <a:pt x="156492" y="36690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66421" y="3346626"/>
          <a:ext cx="1976032" cy="1654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II</a:t>
          </a:r>
          <a:r>
            <a:rPr lang="ka-GE" sz="1100" kern="1200">
              <a:latin typeface="Sylfaen" pitchFamily="18" charset="0"/>
            </a:rPr>
            <a:t> ვარიანტი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მყიდველმა, რომელიც ურთიერთდამოკიდებული პირია, ეს ქონება აუქციონზე შეიძინა 700 ლარად, ხოლო სხვაობა - 300 ლარი არ ასახა ერთობლივ შემოსავალში</a:t>
          </a:r>
          <a:endParaRPr lang="en-US" sz="1100" kern="1200">
            <a:latin typeface="Sylfaen" pitchFamily="18" charset="0"/>
          </a:endParaRPr>
        </a:p>
      </dsp:txBody>
      <dsp:txXfrm>
        <a:off x="614885" y="3395090"/>
        <a:ext cx="1879104" cy="1557744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494006"/>
          <a:ext cx="122344" cy="1361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1769"/>
              </a:lnTo>
              <a:lnTo>
                <a:pt x="122344" y="13617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757313" y="708955"/>
          <a:ext cx="2058094" cy="2293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II</a:t>
          </a:r>
          <a:r>
            <a:rPr lang="ka-GE" sz="1100" kern="1200">
              <a:latin typeface="Sylfaen" pitchFamily="18" charset="0"/>
            </a:rPr>
            <a:t> ვარიანტში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-მყიდველს სარგებლად არ ჩაეთვლება სხვაობა საწყის ფასსა და შეძენის ფასს შორის (300 ლარი)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-გამყიდველს საბაზრო ფასად მიწოდებად არ ჩაეთვლება ქონების რეალიზაცია, რადგან ურთიერთდამოკიდებულება გავლენას ვერ მოახდენდა შეძენის ფასზე</a:t>
          </a:r>
          <a:endParaRPr lang="en-US" sz="1100" kern="1200">
            <a:latin typeface="Sylfaen" pitchFamily="18" charset="0"/>
          </a:endParaRPr>
        </a:p>
      </dsp:txBody>
      <dsp:txXfrm>
        <a:off x="2817593" y="769235"/>
        <a:ext cx="1937534" cy="2173081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71120" cy="1176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6250"/>
              </a:lnTo>
              <a:lnTo>
                <a:pt x="171120" y="11762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626578" y="754381"/>
          <a:ext cx="1702909" cy="18481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>
              <a:latin typeface="Sylfaen" pitchFamily="18" charset="0"/>
            </a:rPr>
            <a:t>II</a:t>
          </a:r>
          <a:r>
            <a:rPr lang="ka-GE" sz="1100" b="0" i="0" kern="1200">
              <a:latin typeface="Sylfaen" pitchFamily="18" charset="0"/>
            </a:rPr>
            <a:t> ვარიანტში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პირის ქმედებაში საგადასახადო სამართალდარღვევა არ იკვეთება და დამატებითი საგადასახადო ვალდებულების დაკისრება არ ხდება </a:t>
          </a:r>
        </a:p>
      </dsp:txBody>
      <dsp:txXfrm>
        <a:off x="5676455" y="804258"/>
        <a:ext cx="1603155" cy="17484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2AAD-7076-482B-B0BF-E625A650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3</cp:revision>
  <cp:lastPrinted>2012-07-19T14:27:00Z</cp:lastPrinted>
  <dcterms:created xsi:type="dcterms:W3CDTF">2013-09-18T07:51:00Z</dcterms:created>
  <dcterms:modified xsi:type="dcterms:W3CDTF">2013-09-18T08:00:00Z</dcterms:modified>
</cp:coreProperties>
</file>