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0" w:rsidRDefault="001B47F9" w:rsidP="00E6059B">
      <w:pPr>
        <w:ind w:left="-1260"/>
        <w:jc w:val="both"/>
        <w:rPr>
          <w:rFonts w:ascii="Sylfaen" w:hAnsi="Sylfaen"/>
          <w:sz w:val="18"/>
          <w:szCs w:val="18"/>
        </w:rPr>
      </w:pPr>
      <w:r w:rsidRPr="001B47F9">
        <w:rPr>
          <w:noProof/>
        </w:rPr>
        <w:drawing>
          <wp:inline distT="0" distB="0" distL="0" distR="0" wp14:anchorId="2C008899" wp14:editId="2B85131A">
            <wp:extent cx="7505700" cy="71247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E6059B" w:rsidRPr="00335005">
        <w:rPr>
          <w:i/>
          <w:noProof/>
        </w:rPr>
        <mc:AlternateContent>
          <mc:Choice Requires="wpg">
            <w:drawing>
              <wp:inline distT="0" distB="0" distL="0" distR="0" wp14:anchorId="75618330" wp14:editId="38F2B0BD">
                <wp:extent cx="447675" cy="441939"/>
                <wp:effectExtent l="57150" t="57150" r="142875" b="13017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41939"/>
                          <a:chOff x="788612" y="1436222"/>
                          <a:chExt cx="1123344" cy="1111264"/>
                        </a:xfrm>
                      </wpg:grpSpPr>
                      <wps:wsp>
                        <wps:cNvPr id="8" name="Rektangel med afrundet, diagonalt hjørne 21"/>
                        <wps:cNvSpPr/>
                        <wps:spPr>
                          <a:xfrm>
                            <a:off x="788612" y="1436222"/>
                            <a:ext cx="1123344" cy="1111264"/>
                          </a:xfrm>
                          <a:prstGeom prst="round2DiagRect">
                            <a:avLst>
                              <a:gd name="adj1" fmla="val 20046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gradFill flip="none" rotWithShape="1">
                              <a:gsLst>
                                <a:gs pos="0">
                                  <a:sysClr val="window" lastClr="FFFFFF">
                                    <a:lumMod val="75000"/>
                                  </a:sysClr>
                                </a:gs>
                                <a:gs pos="100000"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gs>
                              </a:gsLst>
                              <a:lin ang="3600000" scaled="0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6059B" w:rsidRDefault="00E6059B" w:rsidP="00E6059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12626" y="1555944"/>
                            <a:ext cx="676245" cy="885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94"/>
                              </a:cxn>
                              <a:cxn ang="0">
                                <a:pos x="0" y="194"/>
                              </a:cxn>
                              <a:cxn ang="0">
                                <a:pos x="0" y="188"/>
                              </a:cxn>
                              <a:cxn ang="0">
                                <a:pos x="4" y="182"/>
                              </a:cxn>
                              <a:cxn ang="0">
                                <a:pos x="8" y="176"/>
                              </a:cxn>
                              <a:cxn ang="0">
                                <a:pos x="14" y="170"/>
                              </a:cxn>
                              <a:cxn ang="0">
                                <a:pos x="14" y="170"/>
                              </a:cxn>
                              <a:cxn ang="0">
                                <a:pos x="24" y="166"/>
                              </a:cxn>
                              <a:cxn ang="0">
                                <a:pos x="30" y="164"/>
                              </a:cxn>
                              <a:cxn ang="0">
                                <a:pos x="30" y="164"/>
                              </a:cxn>
                              <a:cxn ang="0">
                                <a:pos x="36" y="168"/>
                              </a:cxn>
                              <a:cxn ang="0">
                                <a:pos x="38" y="174"/>
                              </a:cxn>
                              <a:cxn ang="0">
                                <a:pos x="38" y="174"/>
                              </a:cxn>
                              <a:cxn ang="0">
                                <a:pos x="48" y="202"/>
                              </a:cxn>
                              <a:cxn ang="0">
                                <a:pos x="48" y="202"/>
                              </a:cxn>
                              <a:cxn ang="0">
                                <a:pos x="52" y="206"/>
                              </a:cxn>
                              <a:cxn ang="0">
                                <a:pos x="54" y="208"/>
                              </a:cxn>
                              <a:cxn ang="0">
                                <a:pos x="54" y="208"/>
                              </a:cxn>
                              <a:cxn ang="0">
                                <a:pos x="56" y="208"/>
                              </a:cxn>
                              <a:cxn ang="0">
                                <a:pos x="58" y="204"/>
                              </a:cxn>
                              <a:cxn ang="0">
                                <a:pos x="58" y="204"/>
                              </a:cxn>
                              <a:cxn ang="0">
                                <a:pos x="80" y="162"/>
                              </a:cxn>
                              <a:cxn ang="0">
                                <a:pos x="100" y="124"/>
                              </a:cxn>
                              <a:cxn ang="0">
                                <a:pos x="118" y="92"/>
                              </a:cxn>
                              <a:cxn ang="0">
                                <a:pos x="136" y="64"/>
                              </a:cxn>
                              <a:cxn ang="0">
                                <a:pos x="136" y="64"/>
                              </a:cxn>
                              <a:cxn ang="0">
                                <a:pos x="156" y="34"/>
                              </a:cxn>
                              <a:cxn ang="0">
                                <a:pos x="168" y="20"/>
                              </a:cxn>
                              <a:cxn ang="0">
                                <a:pos x="168" y="20"/>
                              </a:cxn>
                              <a:cxn ang="0">
                                <a:pos x="178" y="12"/>
                              </a:cxn>
                              <a:cxn ang="0">
                                <a:pos x="190" y="6"/>
                              </a:cxn>
                              <a:cxn ang="0">
                                <a:pos x="202" y="2"/>
                              </a:cxn>
                              <a:cxn ang="0">
                                <a:pos x="216" y="0"/>
                              </a:cxn>
                              <a:cxn ang="0">
                                <a:pos x="216" y="8"/>
                              </a:cxn>
                              <a:cxn ang="0">
                                <a:pos x="216" y="8"/>
                              </a:cxn>
                              <a:cxn ang="0">
                                <a:pos x="204" y="24"/>
                              </a:cxn>
                              <a:cxn ang="0">
                                <a:pos x="188" y="50"/>
                              </a:cxn>
                              <a:cxn ang="0">
                                <a:pos x="142" y="122"/>
                              </a:cxn>
                              <a:cxn ang="0">
                                <a:pos x="142" y="122"/>
                              </a:cxn>
                              <a:cxn ang="0">
                                <a:pos x="98" y="202"/>
                              </a:cxn>
                              <a:cxn ang="0">
                                <a:pos x="68" y="262"/>
                              </a:cxn>
                              <a:cxn ang="0">
                                <a:pos x="68" y="262"/>
                              </a:cxn>
                              <a:cxn ang="0">
                                <a:pos x="64" y="274"/>
                              </a:cxn>
                              <a:cxn ang="0">
                                <a:pos x="60" y="276"/>
                              </a:cxn>
                              <a:cxn ang="0">
                                <a:pos x="56" y="278"/>
                              </a:cxn>
                              <a:cxn ang="0">
                                <a:pos x="56" y="278"/>
                              </a:cxn>
                              <a:cxn ang="0">
                                <a:pos x="50" y="282"/>
                              </a:cxn>
                              <a:cxn ang="0">
                                <a:pos x="40" y="282"/>
                              </a:cxn>
                              <a:cxn ang="0">
                                <a:pos x="40" y="282"/>
                              </a:cxn>
                              <a:cxn ang="0">
                                <a:pos x="32" y="282"/>
                              </a:cxn>
                              <a:cxn ang="0">
                                <a:pos x="28" y="278"/>
                              </a:cxn>
                              <a:cxn ang="0">
                                <a:pos x="28" y="278"/>
                              </a:cxn>
                              <a:cxn ang="0">
                                <a:pos x="24" y="274"/>
                              </a:cxn>
                              <a:cxn ang="0">
                                <a:pos x="20" y="266"/>
                              </a:cxn>
                              <a:cxn ang="0">
                                <a:pos x="20" y="266"/>
                              </a:cxn>
                              <a:cxn ang="0">
                                <a:pos x="8" y="234"/>
                              </a:cxn>
                              <a:cxn ang="0">
                                <a:pos x="2" y="206"/>
                              </a:cxn>
                              <a:cxn ang="0">
                                <a:pos x="2" y="206"/>
                              </a:cxn>
                              <a:cxn ang="0">
                                <a:pos x="0" y="194"/>
                              </a:cxn>
                              <a:cxn ang="0">
                                <a:pos x="0" y="194"/>
                              </a:cxn>
                            </a:cxnLst>
                            <a:rect l="0" t="0" r="r" b="b"/>
                            <a:pathLst>
                              <a:path w="216" h="282">
                                <a:moveTo>
                                  <a:pt x="0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188"/>
                                </a:lnTo>
                                <a:lnTo>
                                  <a:pt x="4" y="182"/>
                                </a:lnTo>
                                <a:lnTo>
                                  <a:pt x="8" y="17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0"/>
                                </a:lnTo>
                                <a:lnTo>
                                  <a:pt x="24" y="166"/>
                                </a:lnTo>
                                <a:lnTo>
                                  <a:pt x="30" y="164"/>
                                </a:lnTo>
                                <a:lnTo>
                                  <a:pt x="30" y="164"/>
                                </a:lnTo>
                                <a:lnTo>
                                  <a:pt x="36" y="168"/>
                                </a:lnTo>
                                <a:lnTo>
                                  <a:pt x="38" y="174"/>
                                </a:lnTo>
                                <a:lnTo>
                                  <a:pt x="38" y="174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52" y="206"/>
                                </a:lnTo>
                                <a:lnTo>
                                  <a:pt x="54" y="208"/>
                                </a:lnTo>
                                <a:lnTo>
                                  <a:pt x="54" y="208"/>
                                </a:lnTo>
                                <a:lnTo>
                                  <a:pt x="56" y="208"/>
                                </a:lnTo>
                                <a:lnTo>
                                  <a:pt x="58" y="204"/>
                                </a:lnTo>
                                <a:lnTo>
                                  <a:pt x="58" y="204"/>
                                </a:lnTo>
                                <a:lnTo>
                                  <a:pt x="80" y="162"/>
                                </a:lnTo>
                                <a:lnTo>
                                  <a:pt x="100" y="124"/>
                                </a:lnTo>
                                <a:lnTo>
                                  <a:pt x="118" y="92"/>
                                </a:lnTo>
                                <a:lnTo>
                                  <a:pt x="136" y="64"/>
                                </a:lnTo>
                                <a:lnTo>
                                  <a:pt x="136" y="64"/>
                                </a:lnTo>
                                <a:lnTo>
                                  <a:pt x="156" y="34"/>
                                </a:lnTo>
                                <a:lnTo>
                                  <a:pt x="168" y="20"/>
                                </a:lnTo>
                                <a:lnTo>
                                  <a:pt x="168" y="20"/>
                                </a:lnTo>
                                <a:lnTo>
                                  <a:pt x="178" y="12"/>
                                </a:lnTo>
                                <a:lnTo>
                                  <a:pt x="190" y="6"/>
                                </a:lnTo>
                                <a:lnTo>
                                  <a:pt x="202" y="2"/>
                                </a:lnTo>
                                <a:lnTo>
                                  <a:pt x="216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04" y="24"/>
                                </a:lnTo>
                                <a:lnTo>
                                  <a:pt x="188" y="50"/>
                                </a:lnTo>
                                <a:lnTo>
                                  <a:pt x="142" y="122"/>
                                </a:lnTo>
                                <a:lnTo>
                                  <a:pt x="142" y="122"/>
                                </a:lnTo>
                                <a:lnTo>
                                  <a:pt x="98" y="202"/>
                                </a:lnTo>
                                <a:lnTo>
                                  <a:pt x="68" y="262"/>
                                </a:lnTo>
                                <a:lnTo>
                                  <a:pt x="68" y="262"/>
                                </a:lnTo>
                                <a:lnTo>
                                  <a:pt x="64" y="274"/>
                                </a:lnTo>
                                <a:lnTo>
                                  <a:pt x="60" y="276"/>
                                </a:lnTo>
                                <a:lnTo>
                                  <a:pt x="56" y="278"/>
                                </a:lnTo>
                                <a:lnTo>
                                  <a:pt x="56" y="278"/>
                                </a:lnTo>
                                <a:lnTo>
                                  <a:pt x="50" y="282"/>
                                </a:lnTo>
                                <a:lnTo>
                                  <a:pt x="40" y="282"/>
                                </a:lnTo>
                                <a:lnTo>
                                  <a:pt x="40" y="282"/>
                                </a:lnTo>
                                <a:lnTo>
                                  <a:pt x="32" y="282"/>
                                </a:lnTo>
                                <a:lnTo>
                                  <a:pt x="28" y="278"/>
                                </a:lnTo>
                                <a:lnTo>
                                  <a:pt x="28" y="278"/>
                                </a:lnTo>
                                <a:lnTo>
                                  <a:pt x="24" y="274"/>
                                </a:lnTo>
                                <a:lnTo>
                                  <a:pt x="20" y="266"/>
                                </a:lnTo>
                                <a:lnTo>
                                  <a:pt x="20" y="266"/>
                                </a:lnTo>
                                <a:lnTo>
                                  <a:pt x="8" y="234"/>
                                </a:lnTo>
                                <a:lnTo>
                                  <a:pt x="2" y="206"/>
                                </a:lnTo>
                                <a:lnTo>
                                  <a:pt x="2" y="206"/>
                                </a:lnTo>
                                <a:lnTo>
                                  <a:pt x="0" y="194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8000"/>
                              </a:gs>
                              <a:gs pos="48000">
                                <a:srgbClr val="00B300"/>
                              </a:gs>
                              <a:gs pos="100000">
                                <a:srgbClr val="00FF00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6059B" w:rsidRDefault="00E6059B" w:rsidP="00E6059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.25pt;height:34.8pt;mso-position-horizontal-relative:char;mso-position-vertical-relative:line" coordorigin="7886,14362" coordsize="11233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">
                <v:shape id="Rektangel med afrundet, diagonalt hjørne 21" o:spid="_x0000_s1027" style="position:absolute;left:7886;top:14362;width:11233;height:11112;visibility:visible;mso-wrap-style:square;v-text-anchor:middle" coordsize="1123344,111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mZsAA&#10;AADaAAAADwAAAGRycy9kb3ducmV2LnhtbERPy2rCQBTdF/oPwy24KWZSFyIxExFp8bEzSunykrlN&#10;QjN3ppnRxL93FoLLw3nnq9F04kq9by0r+EhSEMSV1S3XCs6nr+kChA/IGjvLpOBGHlbF60uOmbYD&#10;H+lahlrEEPYZKmhCcJmUvmrIoE+sI47cr+0Nhgj7WuoehxhuOjlL07k02HJsaNDRpqHqr7wYBfJ9&#10;vf92brvhw/8uOPfp5c+sUmryNq6XIAKN4Sl+uHdaQdwar8Qb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LmZsAAAADaAAAADwAAAAAAAAAAAAAAAACYAgAAZHJzL2Rvd25y&#10;ZXYueG1sUEsFBgAAAAAEAAQA9QAAAIUDAAAAAA==&#10;" adj="-11796480,,5400" path="m222764,r900580,l1123344,r,888500c1123344,1011529,1023609,1111264,900580,1111264l,1111264r,l,222764c,99735,99735,,222764,xe" fillcolor="window" strokeweight="4.5pt">
                  <v:stroke joinstyle="miter"/>
                  <v:shadow on="t" color="black" opacity="26214f" origin="-.5,-.5" offset=".74836mm,.74836mm"/>
                  <v:formulas/>
                  <v:path arrowok="t" o:connecttype="custom" o:connectlocs="222764,0;1123344,0;1123344,0;1123344,888500;900580,1111264;0,1111264;0,1111264;0,222764;222764,0" o:connectangles="0,0,0,0,0,0,0,0,0" textboxrect="0,0,1123344,1111264"/>
                  <v:textbox>
                    <w:txbxContent>
                      <w:p w:rsidR="00E6059B" w:rsidRDefault="00E6059B" w:rsidP="00E6059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28" style="position:absolute;left:10126;top:15559;width:6762;height:8855;visibility:visible;mso-wrap-style:square;v-text-anchor:middle" coordsize="21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j+8MA&#10;AADaAAAADwAAAGRycy9kb3ducmV2LnhtbESPT4vCMBTE74LfITzBy6KpHkSrUYq4iydBd/1zfDTP&#10;ttq8lCZq/fZGWPA4zMxvmNmiMaW4U+0KywoG/QgEcWp1wZmCv9/v3hiE88gaS8uk4EkOFvN2a4ax&#10;tg/e0n3nMxEg7GJUkHtfxVK6NCeDrm8r4uCdbW3QB1lnUtf4CHBTymEUjaTBgsNCjhUtc0qvu5tR&#10;sDomcrA6X4bPpEi+zJ5/tpvTQalup0mmIDw1/hP+b6+1ggm8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Uj+8MAAADaAAAADwAAAAAAAAAAAAAAAACYAgAAZHJzL2Rv&#10;d25yZXYueG1sUEsFBgAAAAAEAAQA9QAAAIgDAAAAAA==&#10;" adj="-11796480,,5400" path="m,194r,l,188r4,-6l8,176r6,-6l14,170r10,-4l30,164r,l36,168r2,6l38,174r10,28l48,202r4,4l54,208r,l56,208r2,-4l58,204,80,162r20,-38l118,92,136,64r,l156,34,168,20r,l178,12,190,6,202,2,216,r,8l216,8,204,24,188,50r-46,72l142,122,98,202,68,262r,l64,274r-4,2l56,278r,l50,282r-10,l40,282r-8,l28,278r,l24,274r-4,-8l20,266,8,234,2,206r,l,194r,xe" fillcolor="green" stroked="f">
                  <v:fill color2="lime" rotate="t" angle="180" colors="0 green;31457f #00b300;1 lime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194;0,194;0,188;4,182;8,176;14,170;14,170;24,166;30,164;30,164;36,168;38,174;38,174;48,202;48,202;52,206;54,208;54,208;56,208;58,204;58,204;80,162;100,124;118,92;136,64;136,64;156,34;168,20;168,20;178,12;190,6;202,2;216,0;216,8;216,8;204,24;188,50;142,122;142,122;98,202;68,262;68,262;64,274;60,276;56,278;56,278;50,282;40,282;40,282;32,282;28,278;28,278;24,274;20,266;20,266;8,234;2,206;2,206;0,194;0,194" o:connectangles="0,0,0,0,0,0,0,0,0,0,0,0,0,0,0,0,0,0,0,0,0,0,0,0,0,0,0,0,0,0,0,0,0,0,0,0,0,0,0,0,0,0,0,0,0,0,0,0,0,0,0,0,0,0,0,0,0,0,0,0" textboxrect="0,0,216,282"/>
                  <v:textbox>
                    <w:txbxContent>
                      <w:p w:rsidR="00E6059B" w:rsidRDefault="00E6059B" w:rsidP="00E6059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6059B">
        <w:rPr>
          <w:rFonts w:ascii="Sylfaen" w:hAnsi="Sylfaen"/>
          <w:sz w:val="18"/>
          <w:szCs w:val="18"/>
          <w:lang w:val="ka-GE"/>
        </w:rPr>
        <w:t>აღნიშნული სახელმძღვანელო გამოიყენება დარიცხვის მეთოდით მომუშავე მეწარმე ფიზიკური პირის შემთხვევაშიც.</w:t>
      </w:r>
    </w:p>
    <w:p w:rsidR="00975567" w:rsidRPr="00E6059B" w:rsidRDefault="00E6059B" w:rsidP="00E6059B">
      <w:pPr>
        <w:ind w:left="-1260"/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sz w:val="18"/>
          <w:szCs w:val="18"/>
          <w:lang w:val="ka-GE"/>
        </w:rPr>
        <w:t xml:space="preserve"> </w:t>
      </w:r>
    </w:p>
    <w:sectPr w:rsidR="00975567" w:rsidRPr="00E6059B" w:rsidSect="005B081E">
      <w:headerReference w:type="default" r:id="rId13"/>
      <w:footerReference w:type="default" r:id="rId14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85" w:rsidRDefault="00815085" w:rsidP="00F92800">
      <w:pPr>
        <w:spacing w:after="0" w:line="240" w:lineRule="auto"/>
      </w:pPr>
      <w:r>
        <w:separator/>
      </w:r>
    </w:p>
  </w:endnote>
  <w:endnote w:type="continuationSeparator" w:id="0">
    <w:p w:rsidR="00815085" w:rsidRDefault="0081508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0" w:rsidRPr="00835BD0" w:rsidRDefault="00835BD0" w:rsidP="00835BD0">
    <w:pPr>
      <w:pStyle w:val="Footer"/>
      <w:jc w:val="center"/>
      <w:rPr>
        <w:rFonts w:ascii="Sylfaen" w:hAnsi="Sylfaen"/>
        <w:b/>
        <w:i/>
        <w:sz w:val="18"/>
        <w:lang w:val="ka-GE"/>
      </w:rPr>
    </w:pPr>
    <w:r w:rsidRPr="00835BD0">
      <w:rPr>
        <w:rFonts w:ascii="Sylfaen" w:hAnsi="Sylfaen"/>
        <w:b/>
        <w:i/>
        <w:sz w:val="18"/>
        <w:lang w:val="ka-GE"/>
      </w:rPr>
      <w:t>სახელმძღვანელო დამტკიცებულია 2011 წლის 24 ივნისისათვის მოქმედი საგადასახადო კანონმდებლობის მიხედვით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85" w:rsidRDefault="00815085" w:rsidP="00F92800">
      <w:pPr>
        <w:spacing w:after="0" w:line="240" w:lineRule="auto"/>
      </w:pPr>
      <w:r>
        <w:separator/>
      </w:r>
    </w:p>
  </w:footnote>
  <w:footnote w:type="continuationSeparator" w:id="0">
    <w:p w:rsidR="00815085" w:rsidRDefault="0081508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2D696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უიმედო ვალი 0301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D6963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085"/>
    <w:rsid w:val="008162E2"/>
    <w:rsid w:val="008243AF"/>
    <w:rsid w:val="00835BD0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8758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059B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45ED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A2561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en-US" sz="1100" b="0">
              <a:latin typeface="Sylfaen" pitchFamily="18" charset="0"/>
            </a:rPr>
            <a:t>I </a:t>
          </a:r>
          <a:r>
            <a:rPr lang="ka-GE" sz="1100" b="0">
              <a:latin typeface="Sylfaen" pitchFamily="18" charset="0"/>
            </a:rPr>
            <a:t>ვარიანტი</a:t>
          </a:r>
        </a:p>
        <a:p>
          <a:r>
            <a:rPr lang="ka-GE" sz="1100" b="0">
              <a:latin typeface="Sylfaen" pitchFamily="18" charset="0"/>
            </a:rPr>
            <a:t>2008 წლის დეკლარაციაში საწარმომ დავალიანება აღიარა უიმედო ვალად და გამოქვითა ერთობლივი შემოსავლიდან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 </a:t>
          </a:r>
          <a:r>
            <a:rPr lang="ka-GE" sz="1100">
              <a:latin typeface="Sylfaen" pitchFamily="18" charset="0"/>
            </a:rPr>
            <a:t>ვარიანტი </a:t>
          </a:r>
        </a:p>
        <a:p>
          <a:r>
            <a:rPr lang="ka-GE" sz="1100">
              <a:latin typeface="Sylfaen" pitchFamily="18" charset="0"/>
            </a:rPr>
            <a:t>2009 წლის დეკლარაციაში საწარმომ დავალიანება აღიარა უიმედო ვალად და გამოქვითა ერთობლივი შემოსავლიდან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en-US" sz="1100">
              <a:solidFill>
                <a:schemeClr val="tx1"/>
              </a:solidFill>
              <a:latin typeface="Sylfaen" pitchFamily="18" charset="0"/>
            </a:rPr>
            <a:t>I</a:t>
          </a:r>
          <a:r>
            <a:rPr lang="ka-GE" sz="1100">
              <a:solidFill>
                <a:schemeClr val="tx1"/>
              </a:solidFill>
              <a:latin typeface="Sylfaen" pitchFamily="18" charset="0"/>
            </a:rPr>
            <a:t> ვარიანტში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 საწარმოს სსკ-ის 108-ე (ძვ. 180-ე) მუხლის დაკმაყოფილების შემთხვევაში, უფლება ჰქონდა ჩამოეწერა უიმედო ვალი მე-8 მუხლის 29-ე (ძვ. მე-12 მუხლის 21-ე) ნაწილის გაუთვალისწინებლად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I </a:t>
          </a:r>
          <a:r>
            <a:rPr lang="ka-GE" sz="1100" b="0" i="0">
              <a:latin typeface="Sylfaen" pitchFamily="18" charset="0"/>
            </a:rPr>
            <a:t>ვარიანტში</a:t>
          </a:r>
        </a:p>
        <a:p>
          <a:r>
            <a:rPr lang="ka-GE" sz="1100" b="0" i="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დამატებითი საგადასახადო ვალდებულებების დაკისრება არ ხდება </a:t>
          </a: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 ვარიანტში</a:t>
          </a:r>
        </a:p>
        <a:p>
          <a:r>
            <a:rPr lang="ka-GE" sz="1100">
              <a:latin typeface="Sylfaen" pitchFamily="18" charset="0"/>
            </a:rPr>
            <a:t>უნდა შემცირდეს 2009 წლის გამოსაქვითი ხარჯი და დაზუსტდეს დასაბეგრი მოგება (ზარალი)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არც ერთ ვარიანტში არ არსებობ სსკ-ის მე-8 მუხლის 29-ე (ძვ. მე-12 მუხლის 21-ე) ნაწილით გათვალისწინებული დოკუმენტები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 </a:t>
          </a:r>
          <a:r>
            <a:rPr lang="ka-GE" sz="1100">
              <a:latin typeface="Sylfaen" pitchFamily="18" charset="0"/>
            </a:rPr>
            <a:t>ვარიანტში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2009 წლის  შემდგომი პერიოდების მიხედვით განხორციელებულ ანგარიშგებაში შესაბამისი დოკუმენტის გარეშე დავალიანება არ უნდა აღიარებულიყო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უიმედო ვალად </a:t>
          </a:r>
          <a:endParaRPr lang="ka-GE" sz="1100">
            <a:latin typeface="Sylfaen" pitchFamily="18" charset="0"/>
          </a:endParaRPr>
        </a:p>
        <a:p>
          <a:r>
            <a:rPr lang="ka-GE" sz="1100">
              <a:latin typeface="Sylfaen" pitchFamily="18" charset="0"/>
            </a:rPr>
            <a:t> </a:t>
          </a: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554C0E9C-C210-4BC1-B535-898587F25D90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II </a:t>
          </a:r>
          <a:r>
            <a:rPr lang="ka-GE" sz="1100">
              <a:latin typeface="Sylfaen" pitchFamily="18" charset="0"/>
            </a:rPr>
            <a:t>ვარიანტში </a:t>
          </a:r>
        </a:p>
        <a:p>
          <a:r>
            <a:rPr lang="ka-GE" sz="1100">
              <a:latin typeface="Sylfaen" pitchFamily="18" charset="0"/>
            </a:rPr>
            <a:t>დავალიანების ოდენობით  გაზრდილია გამოსაქვითი ხარჯი</a:t>
          </a:r>
          <a:endParaRPr lang="en-US" sz="1100">
            <a:latin typeface="Sylfaen" pitchFamily="18" charset="0"/>
          </a:endParaRPr>
        </a:p>
      </dgm:t>
    </dgm:pt>
    <dgm:pt modelId="{1F39B7A0-19E0-4E2B-91FC-8358E336AA8A}" type="parTrans" cxnId="{E1066ECD-A1C5-4AA0-8409-832D04D4ADBF}">
      <dgm:prSet/>
      <dgm:spPr/>
      <dgm:t>
        <a:bodyPr/>
        <a:lstStyle/>
        <a:p>
          <a:endParaRPr lang="en-US"/>
        </a:p>
      </dgm:t>
    </dgm:pt>
    <dgm:pt modelId="{E056176A-C1AF-4F8B-A028-B3B616D4DB72}" type="sibTrans" cxnId="{E1066ECD-A1C5-4AA0-8409-832D04D4ADBF}">
      <dgm:prSet/>
      <dgm:spPr/>
      <dgm:t>
        <a:bodyPr/>
        <a:lstStyle/>
        <a:p>
          <a:endParaRPr lang="en-US"/>
        </a:p>
      </dgm:t>
    </dgm:pt>
    <dgm:pt modelId="{6BD11A18-21CA-4658-86DD-0D56DF7559EB}">
      <dgm:prSet custT="1"/>
      <dgm:spPr/>
      <dgm:t>
        <a:bodyPr/>
        <a:lstStyle/>
        <a:p>
          <a:endParaRPr lang="ka-GE" sz="1100">
            <a:latin typeface="Sylfaen" pitchFamily="18" charset="0"/>
          </a:endParaRPr>
        </a:p>
        <a:p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 ვარიანტში</a:t>
          </a:r>
        </a:p>
        <a:p>
          <a:r>
            <a:rPr lang="ka-GE" sz="1100">
              <a:latin typeface="Sylfaen" pitchFamily="18" charset="0"/>
            </a:rPr>
            <a:t>დეკლარაციაში გადასახადის შემცირების შემთხვევაში პირი დაჯარიმდება სსკ-ის 275-ე (ძვ. 132-ე) მუხლის შესაბამისად </a:t>
          </a:r>
        </a:p>
        <a:p>
          <a:endParaRPr lang="en-US" sz="1100">
            <a:latin typeface="Sylfaen" pitchFamily="18" charset="0"/>
          </a:endParaRPr>
        </a:p>
      </dgm:t>
    </dgm:pt>
    <dgm:pt modelId="{D3F54884-FFA6-4B8B-9FE4-BC738674C4CE}" type="parTrans" cxnId="{04D48528-93CE-4635-A115-7A33DB419496}">
      <dgm:prSet/>
      <dgm:spPr/>
      <dgm:t>
        <a:bodyPr/>
        <a:lstStyle/>
        <a:p>
          <a:endParaRPr lang="en-US"/>
        </a:p>
      </dgm:t>
    </dgm:pt>
    <dgm:pt modelId="{137E7958-1C51-4A4B-B312-37BAC1B29D3B}" type="sibTrans" cxnId="{04D48528-93CE-4635-A115-7A33DB419496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86908" custScaleY="226748" custLinFactY="-3653" custLinFactNeighborX="1394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183763" custScaleY="276690" custLinFactY="-5594" custLinFactNeighborX="1994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182228" custScaleY="218605" custLinFactNeighborX="13949" custLinFactNeighborY="-83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9" custScaleX="236588" custScaleY="262533" custLinFactNeighborX="-5925" custLinFactNeighborY="-87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4" presStyleCnt="9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4" presStyleCnt="9" custScaleX="226535" custScaleY="353606" custLinFactNeighborX="-9039" custLinFactNeighborY="-59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642660-EC29-4CEF-BB51-B35A7EAF3588}" type="pres">
      <dgm:prSet presAssocID="{1F39B7A0-19E0-4E2B-91FC-8358E336AA8A}" presName="Name13" presStyleLbl="parChTrans1D2" presStyleIdx="5" presStyleCnt="9"/>
      <dgm:spPr/>
      <dgm:t>
        <a:bodyPr/>
        <a:lstStyle/>
        <a:p>
          <a:endParaRPr lang="en-US"/>
        </a:p>
      </dgm:t>
    </dgm:pt>
    <dgm:pt modelId="{4C86BF7E-1E34-4695-9E69-6E3D3A269233}" type="pres">
      <dgm:prSet presAssocID="{554C0E9C-C210-4BC1-B535-898587F25D90}" presName="childText" presStyleLbl="bgAcc1" presStyleIdx="5" presStyleCnt="9" custScaleX="222518" custScaleY="172028" custLinFactNeighborX="-5021" custLinFactNeighborY="-562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179542" custScaleY="276496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AD8D04-4168-4239-8DE4-53BF15F66D4A}" type="pres">
      <dgm:prSet presAssocID="{D3F54884-FFA6-4B8B-9FE4-BC738674C4CE}" presName="Name13" presStyleLbl="parChTrans1D2" presStyleIdx="8" presStyleCnt="9"/>
      <dgm:spPr/>
      <dgm:t>
        <a:bodyPr/>
        <a:lstStyle/>
        <a:p>
          <a:endParaRPr lang="en-US"/>
        </a:p>
      </dgm:t>
    </dgm:pt>
    <dgm:pt modelId="{0AF67C8E-E27F-4994-8DE5-D8E8AB8A6218}" type="pres">
      <dgm:prSet presAssocID="{6BD11A18-21CA-4658-86DD-0D56DF7559EB}" presName="childText" presStyleLbl="bgAcc1" presStyleIdx="8" presStyleCnt="9" custScaleX="169837" custScaleY="269957" custLinFactNeighborX="-19080" custLinFactNeighborY="-642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B1C62F-D657-4CF8-82E7-6E6799109762}" type="presOf" srcId="{02B9985B-7F57-43D5-A167-ED9248916466}" destId="{E401CA66-E0CC-4580-B865-916053515C0A}" srcOrd="0" destOrd="0" presId="urn:microsoft.com/office/officeart/2005/8/layout/hierarchy3"/>
    <dgm:cxn modelId="{B5044DBA-8E90-45B1-BAD3-5B66B26F6F8A}" type="presOf" srcId="{C05276AB-2B37-4F03-80CB-53681018626A}" destId="{A0FCCB2E-3A45-460E-890E-5C6DC46BDDA2}" srcOrd="0" destOrd="0" presId="urn:microsoft.com/office/officeart/2005/8/layout/hierarchy3"/>
    <dgm:cxn modelId="{3A944C3E-2924-4CCA-9825-3EE8AFA0F2D1}" type="presOf" srcId="{D3F54884-FFA6-4B8B-9FE4-BC738674C4CE}" destId="{6EAD8D04-4168-4239-8DE4-53BF15F66D4A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4AAA389A-287B-445C-86F6-E3FC9ABC8933}" type="presOf" srcId="{6EDDC9A4-7743-45A1-A47F-DDC8AA334378}" destId="{8E010497-E5A8-4319-AFB0-5D34092ECD88}" srcOrd="1" destOrd="0" presId="urn:microsoft.com/office/officeart/2005/8/layout/hierarchy3"/>
    <dgm:cxn modelId="{AB435B21-74E1-4ECD-B2B3-323FCD681942}" type="presOf" srcId="{6BD11A18-21CA-4658-86DD-0D56DF7559EB}" destId="{0AF67C8E-E27F-4994-8DE5-D8E8AB8A6218}" srcOrd="0" destOrd="0" presId="urn:microsoft.com/office/officeart/2005/8/layout/hierarchy3"/>
    <dgm:cxn modelId="{9DD4023D-9FE2-4C0C-8F25-84F79E371426}" type="presOf" srcId="{E40EDAB5-D188-4812-A61A-95A9AC19C0AE}" destId="{A52CC481-1E94-45D5-998C-116D7F06F43C}" srcOrd="0" destOrd="0" presId="urn:microsoft.com/office/officeart/2005/8/layout/hierarchy3"/>
    <dgm:cxn modelId="{D5B3DF6B-D672-40D2-BEA8-2BCC9C2B738C}" type="presOf" srcId="{29A998F4-CA6D-4B77-B703-EBB58EDD4D4D}" destId="{9272F942-0445-4013-9BB5-584A45F92046}" srcOrd="0" destOrd="0" presId="urn:microsoft.com/office/officeart/2005/8/layout/hierarchy3"/>
    <dgm:cxn modelId="{1EDF2A71-2548-4BA4-A347-B626A55D90FD}" type="presOf" srcId="{B17FBC5D-5165-4FCF-ABDF-53E40FDCAC9F}" destId="{B083B685-1F8C-40F1-89D3-742392FF15BA}" srcOrd="0" destOrd="0" presId="urn:microsoft.com/office/officeart/2005/8/layout/hierarchy3"/>
    <dgm:cxn modelId="{5F1DC1F8-4619-48E8-AE74-86C8CB258CAE}" type="presOf" srcId="{04CF069F-3651-45EC-8CB2-537F82ED770E}" destId="{6A4A5C1A-F165-419D-AF4E-5B55115246BA}" srcOrd="0" destOrd="0" presId="urn:microsoft.com/office/officeart/2005/8/layout/hierarchy3"/>
    <dgm:cxn modelId="{FEF3C79D-B225-434A-A557-9298930E32B0}" type="presOf" srcId="{2A593D08-6C4F-4893-8DEF-0F179E451227}" destId="{06166254-EAD0-4311-851E-F063E7192781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850D63D-DCDD-4030-AEB3-ED507E83E399}" type="presOf" srcId="{3F98D161-D752-4940-A3D1-1ED95BE5267D}" destId="{5873286C-BE2C-4BDC-AB7F-83A56B85C3B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9B189610-4672-4B81-882B-3B8E2A39626C}" type="presOf" srcId="{0864151C-55A8-4402-A51E-35DDE1DCFDCF}" destId="{CCF1B5AD-441C-4182-AB14-F5EBF8654620}" srcOrd="0" destOrd="0" presId="urn:microsoft.com/office/officeart/2005/8/layout/hierarchy3"/>
    <dgm:cxn modelId="{025A86BB-BB00-439A-A410-1C4BC510652A}" type="presOf" srcId="{9EB67732-3D77-4837-997C-BE4062F9BB54}" destId="{6BDC0A78-E0F7-49BA-94F7-90F8325464B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E3EF6078-3B94-442C-AA0D-316D4C200CD9}" type="presOf" srcId="{B4D11B42-E642-4237-B8F9-795C9B3B1616}" destId="{5833CB5C-BF6D-4796-A3D1-E840B57D7143}" srcOrd="0" destOrd="0" presId="urn:microsoft.com/office/officeart/2005/8/layout/hierarchy3"/>
    <dgm:cxn modelId="{DD819EFD-9D70-4CDC-8484-33DE27A33A16}" type="presOf" srcId="{0864151C-55A8-4402-A51E-35DDE1DCFDCF}" destId="{F5A8D68E-1317-4112-8179-3D951CA9F398}" srcOrd="1" destOrd="0" presId="urn:microsoft.com/office/officeart/2005/8/layout/hierarchy3"/>
    <dgm:cxn modelId="{04D48528-93CE-4635-A115-7A33DB419496}" srcId="{E40EDAB5-D188-4812-A61A-95A9AC19C0AE}" destId="{6BD11A18-21CA-4658-86DD-0D56DF7559EB}" srcOrd="2" destOrd="0" parTransId="{D3F54884-FFA6-4B8B-9FE4-BC738674C4CE}" sibTransId="{137E7958-1C51-4A4B-B312-37BAC1B29D3B}"/>
    <dgm:cxn modelId="{AB9DDEEF-077A-4376-B300-FEBBB2E74197}" type="presOf" srcId="{63BFCA6C-BEC4-435A-8E72-0F4C0248610F}" destId="{EE9D00C4-D2C7-4FC5-8294-1E69973FB5F8}" srcOrd="0" destOrd="0" presId="urn:microsoft.com/office/officeart/2005/8/layout/hierarchy3"/>
    <dgm:cxn modelId="{23878AD3-20C2-457E-BB6F-FC2BCCA201DA}" type="presOf" srcId="{E40EDAB5-D188-4812-A61A-95A9AC19C0AE}" destId="{FA81A31F-68B4-47C4-B547-823393526F80}" srcOrd="1" destOrd="0" presId="urn:microsoft.com/office/officeart/2005/8/layout/hierarchy3"/>
    <dgm:cxn modelId="{E1066ECD-A1C5-4AA0-8409-832D04D4ADBF}" srcId="{0864151C-55A8-4402-A51E-35DDE1DCFDCF}" destId="{554C0E9C-C210-4BC1-B535-898587F25D90}" srcOrd="2" destOrd="0" parTransId="{1F39B7A0-19E0-4E2B-91FC-8358E336AA8A}" sibTransId="{E056176A-C1AF-4F8B-A028-B3B616D4DB72}"/>
    <dgm:cxn modelId="{825C4448-E564-4ACC-B4B0-450AB6567654}" type="presOf" srcId="{1F39B7A0-19E0-4E2B-91FC-8358E336AA8A}" destId="{97642660-EC29-4CEF-BB51-B35A7EAF3588}" srcOrd="0" destOrd="0" presId="urn:microsoft.com/office/officeart/2005/8/layout/hierarchy3"/>
    <dgm:cxn modelId="{F4CAF5E6-E52C-4B8B-880E-47A2F4D03747}" type="presOf" srcId="{C902E2DB-BEC8-4856-BA4D-E8C3C7168B79}" destId="{F1317D2F-48EA-4414-B8C3-0F0DF1020FA4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A7C4936-59A4-4BDC-A02A-5922AA77CD53}" type="presOf" srcId="{EC4D90D5-A3B7-4A12-88DA-77AA7E9A9696}" destId="{502E3CA8-4633-4F6E-956E-8D77AF0B9A67}" srcOrd="0" destOrd="0" presId="urn:microsoft.com/office/officeart/2005/8/layout/hierarchy3"/>
    <dgm:cxn modelId="{B1BD0917-7E9F-48CC-BF57-9005A19B8E9F}" type="presOf" srcId="{AF2C8C0F-097D-4DC9-9C67-E8D19F634135}" destId="{B388476D-662D-499E-86FF-075E40B9B116}" srcOrd="0" destOrd="0" presId="urn:microsoft.com/office/officeart/2005/8/layout/hierarchy3"/>
    <dgm:cxn modelId="{0EDC009E-ECC0-468F-A1C6-286F71D7563D}" type="presOf" srcId="{554C0E9C-C210-4BC1-B535-898587F25D90}" destId="{4C86BF7E-1E34-4695-9E69-6E3D3A269233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405F81F7-9141-44D1-8894-8F88371087C3}" type="presOf" srcId="{9C07E8BA-B3FD-42C8-B782-31F94FDE4DD6}" destId="{F5A3E357-4324-493A-86ED-EC691E29B736}" srcOrd="0" destOrd="0" presId="urn:microsoft.com/office/officeart/2005/8/layout/hierarchy3"/>
    <dgm:cxn modelId="{53C9A2FC-7072-4E51-8393-7BFDC871A967}" type="presOf" srcId="{6EDDC9A4-7743-45A1-A47F-DDC8AA334378}" destId="{1A83EF98-3231-40EA-B1D6-7E43DBA651A6}" srcOrd="0" destOrd="0" presId="urn:microsoft.com/office/officeart/2005/8/layout/hierarchy3"/>
    <dgm:cxn modelId="{7E0A5CC4-46B2-48BE-8AA6-910E2603F26F}" type="presOf" srcId="{B26019DA-1E1A-421A-B2B3-3DDBF1BB3490}" destId="{326E14DF-2B2D-4D1D-9EFC-7D3AB8F651AA}" srcOrd="0" destOrd="0" presId="urn:microsoft.com/office/officeart/2005/8/layout/hierarchy3"/>
    <dgm:cxn modelId="{AA080667-E663-4E44-AB0C-6F3ED3C4D7DD}" type="presParOf" srcId="{B388476D-662D-499E-86FF-075E40B9B116}" destId="{4CCE11F2-9671-4C6B-9F76-2C10D78361EF}" srcOrd="0" destOrd="0" presId="urn:microsoft.com/office/officeart/2005/8/layout/hierarchy3"/>
    <dgm:cxn modelId="{09A88978-6FB9-4744-B12F-AC2339B8CDC7}" type="presParOf" srcId="{4CCE11F2-9671-4C6B-9F76-2C10D78361EF}" destId="{C557614C-F630-4D5F-BE22-AB9FC945D279}" srcOrd="0" destOrd="0" presId="urn:microsoft.com/office/officeart/2005/8/layout/hierarchy3"/>
    <dgm:cxn modelId="{84C70B05-4AC9-4C58-895E-5EA07BF7AFE1}" type="presParOf" srcId="{C557614C-F630-4D5F-BE22-AB9FC945D279}" destId="{1A83EF98-3231-40EA-B1D6-7E43DBA651A6}" srcOrd="0" destOrd="0" presId="urn:microsoft.com/office/officeart/2005/8/layout/hierarchy3"/>
    <dgm:cxn modelId="{9962FC0A-3847-4E93-BC16-4BB7DC881F8D}" type="presParOf" srcId="{C557614C-F630-4D5F-BE22-AB9FC945D279}" destId="{8E010497-E5A8-4319-AFB0-5D34092ECD88}" srcOrd="1" destOrd="0" presId="urn:microsoft.com/office/officeart/2005/8/layout/hierarchy3"/>
    <dgm:cxn modelId="{0DD24EEC-AA1E-44E0-A542-854207667D22}" type="presParOf" srcId="{4CCE11F2-9671-4C6B-9F76-2C10D78361EF}" destId="{2F8125D7-8EE8-4988-87E0-9DDFA76BED4A}" srcOrd="1" destOrd="0" presId="urn:microsoft.com/office/officeart/2005/8/layout/hierarchy3"/>
    <dgm:cxn modelId="{6474FC89-0602-4B89-8A1B-E64965931DC9}" type="presParOf" srcId="{2F8125D7-8EE8-4988-87E0-9DDFA76BED4A}" destId="{E401CA66-E0CC-4580-B865-916053515C0A}" srcOrd="0" destOrd="0" presId="urn:microsoft.com/office/officeart/2005/8/layout/hierarchy3"/>
    <dgm:cxn modelId="{0D2C840A-C69F-428D-A0C5-8E4908845EA6}" type="presParOf" srcId="{2F8125D7-8EE8-4988-87E0-9DDFA76BED4A}" destId="{502E3CA8-4633-4F6E-956E-8D77AF0B9A67}" srcOrd="1" destOrd="0" presId="urn:microsoft.com/office/officeart/2005/8/layout/hierarchy3"/>
    <dgm:cxn modelId="{4EA4B107-B975-4797-B1BF-22085373E89C}" type="presParOf" srcId="{2F8125D7-8EE8-4988-87E0-9DDFA76BED4A}" destId="{F1317D2F-48EA-4414-B8C3-0F0DF1020FA4}" srcOrd="2" destOrd="0" presId="urn:microsoft.com/office/officeart/2005/8/layout/hierarchy3"/>
    <dgm:cxn modelId="{75C2AF83-55A6-4307-9F6C-00BF5AC19177}" type="presParOf" srcId="{2F8125D7-8EE8-4988-87E0-9DDFA76BED4A}" destId="{06166254-EAD0-4311-851E-F063E7192781}" srcOrd="3" destOrd="0" presId="urn:microsoft.com/office/officeart/2005/8/layout/hierarchy3"/>
    <dgm:cxn modelId="{1725248B-7F66-4C82-AF84-2B30AC11949D}" type="presParOf" srcId="{2F8125D7-8EE8-4988-87E0-9DDFA76BED4A}" destId="{6BDC0A78-E0F7-49BA-94F7-90F8325464B0}" srcOrd="4" destOrd="0" presId="urn:microsoft.com/office/officeart/2005/8/layout/hierarchy3"/>
    <dgm:cxn modelId="{69251A48-D048-47BD-90F4-E67902B5AF14}" type="presParOf" srcId="{2F8125D7-8EE8-4988-87E0-9DDFA76BED4A}" destId="{A0FCCB2E-3A45-460E-890E-5C6DC46BDDA2}" srcOrd="5" destOrd="0" presId="urn:microsoft.com/office/officeart/2005/8/layout/hierarchy3"/>
    <dgm:cxn modelId="{3192F078-707E-4069-BE5F-26E3D8FDB14A}" type="presParOf" srcId="{B388476D-662D-499E-86FF-075E40B9B116}" destId="{2FB5DE3C-867A-44B8-89CD-BAF599600FD9}" srcOrd="1" destOrd="0" presId="urn:microsoft.com/office/officeart/2005/8/layout/hierarchy3"/>
    <dgm:cxn modelId="{5A1C9210-4279-4EF2-9D4C-05FF5BF329B1}" type="presParOf" srcId="{2FB5DE3C-867A-44B8-89CD-BAF599600FD9}" destId="{9DE9E381-FFCB-4D13-B9AA-C091B657A585}" srcOrd="0" destOrd="0" presId="urn:microsoft.com/office/officeart/2005/8/layout/hierarchy3"/>
    <dgm:cxn modelId="{0552C3EA-329D-442F-98EA-F28C24875DDF}" type="presParOf" srcId="{9DE9E381-FFCB-4D13-B9AA-C091B657A585}" destId="{CCF1B5AD-441C-4182-AB14-F5EBF8654620}" srcOrd="0" destOrd="0" presId="urn:microsoft.com/office/officeart/2005/8/layout/hierarchy3"/>
    <dgm:cxn modelId="{E1B74C6C-D320-4619-B61B-DCD42C7CB377}" type="presParOf" srcId="{9DE9E381-FFCB-4D13-B9AA-C091B657A585}" destId="{F5A8D68E-1317-4112-8179-3D951CA9F398}" srcOrd="1" destOrd="0" presId="urn:microsoft.com/office/officeart/2005/8/layout/hierarchy3"/>
    <dgm:cxn modelId="{EE8DFCAD-5FCA-40C2-8B77-1961F1E7B481}" type="presParOf" srcId="{2FB5DE3C-867A-44B8-89CD-BAF599600FD9}" destId="{25491ECF-4A66-42F1-8AA3-00082B855958}" srcOrd="1" destOrd="0" presId="urn:microsoft.com/office/officeart/2005/8/layout/hierarchy3"/>
    <dgm:cxn modelId="{79C496B8-86DB-4070-844B-0D4F197C24C7}" type="presParOf" srcId="{25491ECF-4A66-42F1-8AA3-00082B855958}" destId="{5873286C-BE2C-4BDC-AB7F-83A56B85C3BA}" srcOrd="0" destOrd="0" presId="urn:microsoft.com/office/officeart/2005/8/layout/hierarchy3"/>
    <dgm:cxn modelId="{0185B56E-0FFD-4614-BA92-0A7FEE0A9802}" type="presParOf" srcId="{25491ECF-4A66-42F1-8AA3-00082B855958}" destId="{F5A3E357-4324-493A-86ED-EC691E29B736}" srcOrd="1" destOrd="0" presId="urn:microsoft.com/office/officeart/2005/8/layout/hierarchy3"/>
    <dgm:cxn modelId="{11338166-1E5B-4C36-84E5-0438C304794A}" type="presParOf" srcId="{25491ECF-4A66-42F1-8AA3-00082B855958}" destId="{B083B685-1F8C-40F1-89D3-742392FF15BA}" srcOrd="2" destOrd="0" presId="urn:microsoft.com/office/officeart/2005/8/layout/hierarchy3"/>
    <dgm:cxn modelId="{3E92BE46-BA3F-4CE8-8B9B-60E05E10106C}" type="presParOf" srcId="{25491ECF-4A66-42F1-8AA3-00082B855958}" destId="{326E14DF-2B2D-4D1D-9EFC-7D3AB8F651AA}" srcOrd="3" destOrd="0" presId="urn:microsoft.com/office/officeart/2005/8/layout/hierarchy3"/>
    <dgm:cxn modelId="{89ACD3C4-F56D-453D-AEFC-75752D435040}" type="presParOf" srcId="{25491ECF-4A66-42F1-8AA3-00082B855958}" destId="{97642660-EC29-4CEF-BB51-B35A7EAF3588}" srcOrd="4" destOrd="0" presId="urn:microsoft.com/office/officeart/2005/8/layout/hierarchy3"/>
    <dgm:cxn modelId="{6E365452-AF26-4752-B5E7-C4C2B772AA67}" type="presParOf" srcId="{25491ECF-4A66-42F1-8AA3-00082B855958}" destId="{4C86BF7E-1E34-4695-9E69-6E3D3A269233}" srcOrd="5" destOrd="0" presId="urn:microsoft.com/office/officeart/2005/8/layout/hierarchy3"/>
    <dgm:cxn modelId="{26EE61F2-0A1A-407E-916A-CBC1BF220CF4}" type="presParOf" srcId="{B388476D-662D-499E-86FF-075E40B9B116}" destId="{B5F88AEE-451A-4C5A-8D98-001CB6888185}" srcOrd="2" destOrd="0" presId="urn:microsoft.com/office/officeart/2005/8/layout/hierarchy3"/>
    <dgm:cxn modelId="{A9A23569-1049-4B7C-AF66-4C707864123F}" type="presParOf" srcId="{B5F88AEE-451A-4C5A-8D98-001CB6888185}" destId="{CE3720F1-9340-4685-87FD-D50F37CC033B}" srcOrd="0" destOrd="0" presId="urn:microsoft.com/office/officeart/2005/8/layout/hierarchy3"/>
    <dgm:cxn modelId="{76A0152C-0397-4D82-A8BE-BE3167C47AB1}" type="presParOf" srcId="{CE3720F1-9340-4685-87FD-D50F37CC033B}" destId="{A52CC481-1E94-45D5-998C-116D7F06F43C}" srcOrd="0" destOrd="0" presId="urn:microsoft.com/office/officeart/2005/8/layout/hierarchy3"/>
    <dgm:cxn modelId="{861E32FE-DBB5-4B61-BFE8-BF39CE35A4E7}" type="presParOf" srcId="{CE3720F1-9340-4685-87FD-D50F37CC033B}" destId="{FA81A31F-68B4-47C4-B547-823393526F80}" srcOrd="1" destOrd="0" presId="urn:microsoft.com/office/officeart/2005/8/layout/hierarchy3"/>
    <dgm:cxn modelId="{7E21E536-5439-4576-9738-3FB12A1DAB1C}" type="presParOf" srcId="{B5F88AEE-451A-4C5A-8D98-001CB6888185}" destId="{13D5A3C6-CE80-425E-9D29-FCD90E15EBB7}" srcOrd="1" destOrd="0" presId="urn:microsoft.com/office/officeart/2005/8/layout/hierarchy3"/>
    <dgm:cxn modelId="{43098C4D-10FB-4E04-8480-BFDF7BF306AD}" type="presParOf" srcId="{13D5A3C6-CE80-425E-9D29-FCD90E15EBB7}" destId="{EE9D00C4-D2C7-4FC5-8294-1E69973FB5F8}" srcOrd="0" destOrd="0" presId="urn:microsoft.com/office/officeart/2005/8/layout/hierarchy3"/>
    <dgm:cxn modelId="{0F402C3D-7619-4A48-8C70-5A3F3D995C68}" type="presParOf" srcId="{13D5A3C6-CE80-425E-9D29-FCD90E15EBB7}" destId="{5833CB5C-BF6D-4796-A3D1-E840B57D7143}" srcOrd="1" destOrd="0" presId="urn:microsoft.com/office/officeart/2005/8/layout/hierarchy3"/>
    <dgm:cxn modelId="{CD7C2767-43E1-4ACE-9F66-1B2FE5924216}" type="presParOf" srcId="{13D5A3C6-CE80-425E-9D29-FCD90E15EBB7}" destId="{6A4A5C1A-F165-419D-AF4E-5B55115246BA}" srcOrd="2" destOrd="0" presId="urn:microsoft.com/office/officeart/2005/8/layout/hierarchy3"/>
    <dgm:cxn modelId="{701EE13F-C1BA-4E72-BC77-DA792814D485}" type="presParOf" srcId="{13D5A3C6-CE80-425E-9D29-FCD90E15EBB7}" destId="{9272F942-0445-4013-9BB5-584A45F92046}" srcOrd="3" destOrd="0" presId="urn:microsoft.com/office/officeart/2005/8/layout/hierarchy3"/>
    <dgm:cxn modelId="{5A5C2462-0F9C-4EA1-BD2A-D0944FB15BF4}" type="presParOf" srcId="{13D5A3C6-CE80-425E-9D29-FCD90E15EBB7}" destId="{6EAD8D04-4168-4239-8DE4-53BF15F66D4A}" srcOrd="4" destOrd="0" presId="urn:microsoft.com/office/officeart/2005/8/layout/hierarchy3"/>
    <dgm:cxn modelId="{661CA2E0-8D39-47DB-A06C-3A38D322787E}" type="presParOf" srcId="{13D5A3C6-CE80-425E-9D29-FCD90E15EBB7}" destId="{0AF67C8E-E27F-4994-8DE5-D8E8AB8A6218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206061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220849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710969"/>
          <a:ext cx="136545" cy="756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98"/>
              </a:lnTo>
              <a:lnTo>
                <a:pt x="136545" y="756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46474" y="795591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I </a:t>
          </a:r>
          <a:r>
            <a:rPr lang="ka-GE" sz="1100" b="0" kern="1200">
              <a:latin typeface="Sylfaen" pitchFamily="18" charset="0"/>
            </a:rPr>
            <a:t>ვარიანტი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2008 წლის დეკლარაციაში საწარმომ დავალიანება აღიარა უიმედო ვალად და გამოქვითა ერთობლივი შემოსავლიდან</a:t>
          </a:r>
          <a:endParaRPr lang="en-US" sz="1100" b="0" kern="1200">
            <a:latin typeface="Sylfaen" pitchFamily="18" charset="0"/>
          </a:endParaRPr>
        </a:p>
      </dsp:txBody>
      <dsp:txXfrm>
        <a:off x="585843" y="834960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710969"/>
          <a:ext cx="193444" cy="23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572"/>
              </a:lnTo>
              <a:lnTo>
                <a:pt x="193444" y="23855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603373" y="2276438"/>
          <a:ext cx="1742944" cy="1640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 </a:t>
          </a:r>
          <a:r>
            <a:rPr lang="ka-GE" sz="1100" kern="1200">
              <a:latin typeface="Sylfaen" pitchFamily="18" charset="0"/>
            </a:rPr>
            <a:t>ვარიანტი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2009 წლის დეკლარაციაში საწარმომ დავალიანება აღიარა უიმედო ვალად და გამოქვითა ერთობლივი შემოსავლიდან</a:t>
          </a:r>
          <a:endParaRPr lang="en-US" sz="1100" kern="1200">
            <a:latin typeface="Sylfaen" pitchFamily="18" charset="0"/>
          </a:endParaRPr>
        </a:p>
      </dsp:txBody>
      <dsp:txXfrm>
        <a:off x="651413" y="2324478"/>
        <a:ext cx="1646864" cy="1544128"/>
      </dsp:txXfrm>
    </dsp:sp>
    <dsp:sp modelId="{6BDC0A78-E0F7-49BA-94F7-90F8325464B0}">
      <dsp:nvSpPr>
        <dsp:cNvPr id="0" name=""/>
        <dsp:cNvSpPr/>
      </dsp:nvSpPr>
      <dsp:spPr>
        <a:xfrm>
          <a:off x="409928" y="710969"/>
          <a:ext cx="136545" cy="4132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2220"/>
              </a:lnTo>
              <a:lnTo>
                <a:pt x="136545" y="413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6474" y="4195249"/>
          <a:ext cx="1728385" cy="1295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არც ერთ ვარიანტში არ არსებობ სსკ-ის მე-8 მუხლის 29-ე (ძვ. მე-12 მუხლის 21-ე) ნაწილით გათვალისწინებული დოკუმენტები</a:t>
          </a:r>
          <a:endParaRPr lang="en-US" sz="1100" kern="1200">
            <a:latin typeface="Sylfaen" pitchFamily="18" charset="0"/>
          </a:endParaRPr>
        </a:p>
      </dsp:txBody>
      <dsp:txXfrm>
        <a:off x="584429" y="4233204"/>
        <a:ext cx="1652475" cy="1219972"/>
      </dsp:txXfrm>
    </dsp:sp>
    <dsp:sp modelId="{CCF1B5AD-441C-4182-AB14-F5EBF8654620}">
      <dsp:nvSpPr>
        <dsp:cNvPr id="0" name=""/>
        <dsp:cNvSpPr/>
      </dsp:nvSpPr>
      <dsp:spPr>
        <a:xfrm>
          <a:off x="2361214" y="187032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201501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681039"/>
          <a:ext cx="202073" cy="978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597"/>
              </a:lnTo>
              <a:lnTo>
                <a:pt x="202073" y="9785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881493"/>
          <a:ext cx="2243976" cy="155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Sylfaen" pitchFamily="18" charset="0"/>
            </a:rPr>
            <a:t>I</a:t>
          </a: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 საწარმოს სსკ-ის 108-ე (ძვ. 180-ე) მუხლის დაკმაყოფილების შემთხვევაში, უფლება ჰქონდა ჩამოეწერა უიმედო ვალი მე-8 მუხლის 29-ე (ძვ. მე-12 მუხლის 21-ე) ნაწილის გაუთვალისწინებლად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82624" y="927075"/>
        <a:ext cx="2152812" cy="1465122"/>
      </dsp:txXfrm>
    </dsp:sp>
    <dsp:sp modelId="{B083B685-1F8C-40F1-89D3-742392FF15BA}">
      <dsp:nvSpPr>
        <dsp:cNvPr id="0" name=""/>
        <dsp:cNvSpPr/>
      </dsp:nvSpPr>
      <dsp:spPr>
        <a:xfrm>
          <a:off x="2634968" y="681039"/>
          <a:ext cx="172538" cy="311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768"/>
              </a:lnTo>
              <a:lnTo>
                <a:pt x="172538" y="3119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07506" y="2752726"/>
          <a:ext cx="2148626" cy="2096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 </a:t>
          </a:r>
          <a:r>
            <a:rPr lang="ka-GE" sz="1100" kern="1200">
              <a:latin typeface="Sylfaen" pitchFamily="18" charset="0"/>
            </a:rPr>
            <a:t>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2009 წლის  შემდგომი პერიოდების მიხედვით განხორციელებულ ანგარიშგებაში შესაბამისი დოკუმენტის გარეშე დავალიანება არ უნდა აღიარებულიყო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უიმედო ვალად </a:t>
          </a:r>
          <a:endParaRPr lang="ka-GE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 </a:t>
          </a:r>
        </a:p>
      </dsp:txBody>
      <dsp:txXfrm>
        <a:off x="2868901" y="2814121"/>
        <a:ext cx="2025836" cy="1973373"/>
      </dsp:txXfrm>
    </dsp:sp>
    <dsp:sp modelId="{97642660-EC29-4CEF-BB51-B35A7EAF3588}">
      <dsp:nvSpPr>
        <dsp:cNvPr id="0" name=""/>
        <dsp:cNvSpPr/>
      </dsp:nvSpPr>
      <dsp:spPr>
        <a:xfrm>
          <a:off x="2634968" y="681039"/>
          <a:ext cx="210647" cy="4843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3466"/>
              </a:lnTo>
              <a:lnTo>
                <a:pt x="210647" y="48434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6BF7E-1E34-4695-9E69-6E3D3A269233}">
      <dsp:nvSpPr>
        <dsp:cNvPr id="0" name=""/>
        <dsp:cNvSpPr/>
      </dsp:nvSpPr>
      <dsp:spPr>
        <a:xfrm>
          <a:off x="2845616" y="5014618"/>
          <a:ext cx="2110525" cy="1019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 </a:t>
          </a:r>
          <a:r>
            <a:rPr lang="ka-GE" sz="1100" kern="1200">
              <a:latin typeface="Sylfaen" pitchFamily="18" charset="0"/>
            </a:rPr>
            <a:t>ვარიანტში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დავალიანების ოდენობით  გაზრდილია გამოსაქვითი ხარჯი</a:t>
          </a:r>
          <a:endParaRPr lang="en-US" sz="1100" kern="1200">
            <a:latin typeface="Sylfaen" pitchFamily="18" charset="0"/>
          </a:endParaRPr>
        </a:p>
      </dsp:txBody>
      <dsp:txXfrm>
        <a:off x="2875484" y="5044486"/>
        <a:ext cx="2050789" cy="960039"/>
      </dsp:txXfrm>
    </dsp:sp>
    <dsp:sp modelId="{A52CC481-1E94-45D5-998C-116D7F06F43C}">
      <dsp:nvSpPr>
        <dsp:cNvPr id="0" name=""/>
        <dsp:cNvSpPr/>
      </dsp:nvSpPr>
      <dsp:spPr>
        <a:xfrm>
          <a:off x="5246591" y="176878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91588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679106"/>
          <a:ext cx="142134" cy="1140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338"/>
              </a:lnTo>
              <a:lnTo>
                <a:pt x="142134" y="1140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999916"/>
          <a:ext cx="1702909" cy="1639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I </a:t>
          </a:r>
          <a:r>
            <a:rPr lang="ka-GE" sz="1100" b="0" i="0" kern="1200">
              <a:latin typeface="Sylfaen" pitchFamily="18" charset="0"/>
            </a:rPr>
            <a:t>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დამატებითი საგადასახადო ვალდებულებების დაკისრება არ ხდება </a:t>
          </a:r>
        </a:p>
      </dsp:txBody>
      <dsp:txXfrm>
        <a:off x="5645599" y="1047922"/>
        <a:ext cx="1606897" cy="1543046"/>
      </dsp:txXfrm>
    </dsp:sp>
    <dsp:sp modelId="{6A4A5C1A-F165-419D-AF4E-5B55115246BA}">
      <dsp:nvSpPr>
        <dsp:cNvPr id="0" name=""/>
        <dsp:cNvSpPr/>
      </dsp:nvSpPr>
      <dsp:spPr>
        <a:xfrm>
          <a:off x="5455458" y="679106"/>
          <a:ext cx="160895" cy="2768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883"/>
              </a:lnTo>
              <a:lnTo>
                <a:pt x="160895" y="2768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775359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უნდა შემცირდეს 2009 წლის გამოსაქვითი ხარჯი და დაზუსტდეს დასაბეგრი მოგება (ზარალი)</a:t>
          </a:r>
          <a:endParaRPr lang="en-US" sz="1100" kern="1200">
            <a:latin typeface="Sylfaen" pitchFamily="18" charset="0"/>
          </a:endParaRPr>
        </a:p>
      </dsp:txBody>
      <dsp:txXfrm>
        <a:off x="5655755" y="2814760"/>
        <a:ext cx="1608144" cy="1266460"/>
      </dsp:txXfrm>
    </dsp:sp>
    <dsp:sp modelId="{6EAD8D04-4168-4239-8DE4-53BF15F66D4A}">
      <dsp:nvSpPr>
        <dsp:cNvPr id="0" name=""/>
        <dsp:cNvSpPr/>
      </dsp:nvSpPr>
      <dsp:spPr>
        <a:xfrm>
          <a:off x="5455458" y="679106"/>
          <a:ext cx="160980" cy="4428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8126"/>
              </a:lnTo>
              <a:lnTo>
                <a:pt x="160980" y="4428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67C8E-E27F-4994-8DE5-D8E8AB8A6218}">
      <dsp:nvSpPr>
        <dsp:cNvPr id="0" name=""/>
        <dsp:cNvSpPr/>
      </dsp:nvSpPr>
      <dsp:spPr>
        <a:xfrm>
          <a:off x="5616439" y="4307086"/>
          <a:ext cx="1610860" cy="160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დეკლარაციაში გადასახადის შემცირების შემთხვევაში პირი დაჯარიმდება სსკ-ის 275-ე (ძვ. 132-ე) მუხლის შესაბამისად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Sylfaen" pitchFamily="18" charset="0"/>
          </a:endParaRPr>
        </a:p>
      </dsp:txBody>
      <dsp:txXfrm>
        <a:off x="5663310" y="4353957"/>
        <a:ext cx="1517118" cy="1506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D27-2478-4176-9248-44BF1A2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3</cp:revision>
  <cp:lastPrinted>2012-07-19T14:27:00Z</cp:lastPrinted>
  <dcterms:created xsi:type="dcterms:W3CDTF">2013-09-17T14:09:00Z</dcterms:created>
  <dcterms:modified xsi:type="dcterms:W3CDTF">2013-09-21T05:33:00Z</dcterms:modified>
</cp:coreProperties>
</file>