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7B0740" w:rsidRDefault="001B47F9" w:rsidP="002B5AA1">
      <w:pPr>
        <w:ind w:left="-1260"/>
        <w:rPr>
          <w:rFonts w:ascii="Sylfaen" w:hAnsi="Sylfaen"/>
          <w:lang w:val="ka-GE"/>
        </w:rPr>
      </w:pPr>
      <w:r w:rsidRPr="001B47F9">
        <w:rPr>
          <w:noProof/>
          <w:lang w:val="ru-RU" w:eastAsia="ru-RU"/>
        </w:rPr>
        <w:drawing>
          <wp:inline distT="0" distB="0" distL="0" distR="0" wp14:anchorId="6426697A" wp14:editId="30A96C53">
            <wp:extent cx="7505700" cy="6600825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8408A">
        <w:tab/>
      </w:r>
      <w:bookmarkStart w:id="0" w:name="_GoBack"/>
      <w:bookmarkEnd w:id="0"/>
    </w:p>
    <w:p w:rsidR="00975567" w:rsidRDefault="00664C97" w:rsidP="007B0740">
      <w:pPr>
        <w:tabs>
          <w:tab w:val="left" w:pos="2738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7B0740" w:rsidRPr="003E2790">
        <w:rPr>
          <w:rFonts w:ascii="Sylfaen" w:hAnsi="Sylfaen"/>
          <w:b/>
          <w:lang w:val="ka-GE"/>
        </w:rPr>
        <w:t>შენიშვნა:</w:t>
      </w:r>
      <w:r w:rsidR="007B0740">
        <w:rPr>
          <w:rFonts w:ascii="Sylfaen" w:hAnsi="Sylfaen"/>
          <w:lang w:val="ka-GE"/>
        </w:rPr>
        <w:t xml:space="preserve"> საქართველოს ფინანსთა მინისტრის 28.01.2011 </w:t>
      </w:r>
      <w:r w:rsidR="007B0740" w:rsidRPr="007B0740">
        <w:rPr>
          <w:rFonts w:ascii="Acad Nusx Geo" w:hAnsi="Acad Nusx Geo"/>
          <w:lang w:val="ka-GE"/>
        </w:rPr>
        <w:t>#</w:t>
      </w:r>
      <w:r w:rsidR="007B0740">
        <w:rPr>
          <w:rFonts w:ascii="Sylfaen" w:hAnsi="Sylfaen"/>
        </w:rPr>
        <w:t xml:space="preserve">34 </w:t>
      </w:r>
      <w:r w:rsidR="007B0740">
        <w:rPr>
          <w:rFonts w:ascii="Sylfaen" w:hAnsi="Sylfaen"/>
          <w:lang w:val="ka-GE"/>
        </w:rPr>
        <w:t>ბრძანებით, სსკ 107 (1) მუხლის მიზნებისათვის, საქართველოს კანონმდებლობის შესაბამისად ლიცენზირებული კომერციული ბანკის მიერ გაცემულ კრედიტზე პროცენტის გამოქვითვა წარმოებს ხელშეკრულებით გათვალისწინებული საპროცენტო განაკვეთის ფარგლებში, სხვა შემთხვევაში - არა უმეტეს წლიური 24%-ისა.</w:t>
      </w:r>
    </w:p>
    <w:p w:rsidR="007B0740" w:rsidRPr="007B0740" w:rsidRDefault="007B0740" w:rsidP="007B0740">
      <w:pPr>
        <w:tabs>
          <w:tab w:val="left" w:pos="2738"/>
        </w:tabs>
        <w:jc w:val="both"/>
        <w:rPr>
          <w:rFonts w:ascii="Sylfaen" w:hAnsi="Sylfaen"/>
          <w:lang w:val="ka-GE"/>
        </w:rPr>
      </w:pPr>
    </w:p>
    <w:sectPr w:rsidR="007B0740" w:rsidRPr="007B0740" w:rsidSect="005B081E">
      <w:headerReference w:type="default" r:id="rId13"/>
      <w:footerReference w:type="default" r:id="rId14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D4" w:rsidRDefault="00FB56D4" w:rsidP="00F92800">
      <w:pPr>
        <w:spacing w:after="0" w:line="240" w:lineRule="auto"/>
      </w:pPr>
      <w:r>
        <w:separator/>
      </w:r>
    </w:p>
  </w:endnote>
  <w:endnote w:type="continuationSeparator" w:id="0">
    <w:p w:rsidR="00FB56D4" w:rsidRDefault="00FB56D4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40" w:rsidRPr="007B0740" w:rsidRDefault="007B0740" w:rsidP="007B0740">
    <w:pPr>
      <w:pBdr>
        <w:top w:val="single" w:sz="4" w:space="1" w:color="A5A5A5" w:themeColor="background1" w:themeShade="A5"/>
      </w:pBdr>
      <w:tabs>
        <w:tab w:val="center" w:pos="4844"/>
        <w:tab w:val="right" w:pos="9689"/>
      </w:tabs>
      <w:spacing w:after="0" w:line="240" w:lineRule="auto"/>
      <w:jc w:val="center"/>
    </w:pPr>
    <w:proofErr w:type="spellStart"/>
    <w:proofErr w:type="gramStart"/>
    <w:r w:rsidRPr="007B0740">
      <w:rPr>
        <w:rFonts w:ascii="AcadNusx" w:hAnsi="AcadNusx"/>
        <w:b/>
        <w:i/>
        <w:color w:val="000000" w:themeColor="text1"/>
        <w:sz w:val="18"/>
        <w:szCs w:val="18"/>
      </w:rPr>
      <w:t>saxelmZRvanelo</w:t>
    </w:r>
    <w:proofErr w:type="spellEnd"/>
    <w:proofErr w:type="gramEnd"/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Pr="007B0740">
      <w:rPr>
        <w:rFonts w:ascii="AcadNusx" w:hAnsi="AcadNusx"/>
        <w:b/>
        <w:i/>
        <w:color w:val="000000" w:themeColor="text1"/>
        <w:sz w:val="18"/>
        <w:szCs w:val="18"/>
      </w:rPr>
      <w:t>damtkicebulia</w:t>
    </w:r>
    <w:proofErr w:type="spellEnd"/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2011 </w:t>
    </w:r>
    <w:proofErr w:type="spellStart"/>
    <w:r w:rsidRPr="007B0740">
      <w:rPr>
        <w:rFonts w:ascii="AcadNusx" w:hAnsi="AcadNusx"/>
        <w:b/>
        <w:i/>
        <w:color w:val="000000" w:themeColor="text1"/>
        <w:sz w:val="18"/>
        <w:szCs w:val="18"/>
      </w:rPr>
      <w:t>wlis</w:t>
    </w:r>
    <w:proofErr w:type="spellEnd"/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>
      <w:rPr>
        <w:rFonts w:ascii="Sylfaen" w:hAnsi="Sylfaen"/>
        <w:b/>
        <w:i/>
        <w:color w:val="000000" w:themeColor="text1"/>
        <w:sz w:val="18"/>
        <w:szCs w:val="18"/>
        <w:lang w:val="ka-GE"/>
      </w:rPr>
      <w:t xml:space="preserve">1 სექტემბრისათვის </w:t>
    </w:r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Pr="007B0740">
      <w:rPr>
        <w:rFonts w:ascii="AcadNusx" w:hAnsi="AcadNusx"/>
        <w:b/>
        <w:i/>
        <w:color w:val="000000" w:themeColor="text1"/>
        <w:sz w:val="18"/>
        <w:szCs w:val="18"/>
      </w:rPr>
      <w:t>moqmedi</w:t>
    </w:r>
    <w:proofErr w:type="spellEnd"/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Pr="007B0740"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Pr="007B0740">
      <w:rPr>
        <w:rFonts w:ascii="AcadNusx" w:hAnsi="AcadNusx"/>
        <w:b/>
        <w:i/>
        <w:color w:val="000000" w:themeColor="text1"/>
        <w:sz w:val="18"/>
        <w:szCs w:val="18"/>
      </w:rPr>
      <w:t>kanonmdeblobis</w:t>
    </w:r>
    <w:proofErr w:type="spellEnd"/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Pr="007B0740">
      <w:rPr>
        <w:rFonts w:ascii="AcadNusx" w:hAnsi="AcadNusx"/>
        <w:b/>
        <w:i/>
        <w:color w:val="000000" w:themeColor="text1"/>
        <w:sz w:val="18"/>
        <w:szCs w:val="18"/>
      </w:rPr>
      <w:t>mixedviT</w:t>
    </w:r>
    <w:proofErr w:type="spellEnd"/>
    <w:r w:rsidRPr="007B0740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  <w:p w:rsidR="007B0740" w:rsidRDefault="007B07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D4" w:rsidRDefault="00FB56D4" w:rsidP="00F92800">
      <w:pPr>
        <w:spacing w:after="0" w:line="240" w:lineRule="auto"/>
      </w:pPr>
      <w:r>
        <w:separator/>
      </w:r>
    </w:p>
  </w:footnote>
  <w:footnote w:type="continuationSeparator" w:id="0">
    <w:p w:rsidR="00FB56D4" w:rsidRDefault="00FB56D4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7B0740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სესხის პროცენტის </w:t>
    </w:r>
    <w:r w:rsidR="003E2790">
      <w:rPr>
        <w:rFonts w:ascii="Sylfaen" w:hAnsi="Sylfaen"/>
        <w:b/>
        <w:sz w:val="26"/>
        <w:szCs w:val="26"/>
        <w:lang w:val="ka-GE"/>
      </w:rPr>
      <w:t xml:space="preserve">კაპიტალიზაცია </w:t>
    </w:r>
    <w:r>
      <w:rPr>
        <w:rFonts w:ascii="Sylfaen" w:hAnsi="Sylfaen"/>
        <w:b/>
        <w:sz w:val="26"/>
        <w:szCs w:val="26"/>
        <w:lang w:val="ka-GE"/>
      </w:rPr>
      <w:t xml:space="preserve"> 0254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E2790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3E3D"/>
    <w:rsid w:val="0078613C"/>
    <w:rsid w:val="00790AD7"/>
    <w:rsid w:val="00796847"/>
    <w:rsid w:val="007B0740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2D0F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56D4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ლუდის მწარმოებელმა ლუდის ჩამოსასხმელი საამქროს მშენებლობისათვის აღებულ 300 000 ლარის სესხზე საანგარიშო პერიოდში გადაიხადა (დაარიცხა) ბანკის პროცენტის სახით 90 000 ლარი (30%)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</a:t>
          </a:r>
          <a:r>
            <a:rPr lang="en-US" sz="1100">
              <a:latin typeface="Sylfaen" pitchFamily="18" charset="0"/>
            </a:rPr>
            <a:t>I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გადამხდელმა ამ საანგარიშო წლის ერთობლივი შემოსავლიდან გამოქვითა ბანკის სესხის პროცენტის სახით 90 000 ლარი</a:t>
          </a: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სსკ 148-ე მუხლის მიხედვით აქტივების ღირებულებაში შეიტანება ხარჯები, რომლებიც ზრდის მის ღირებულებას, გარდა ისეთი ხარჯებისაა, რომელთა  გამოქვითვის უფლება აქვს გადამხდელს 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გადამხდელის ქმედებაში საგადასახადო სამართალდარღვევა არ იკვეთება 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</a:t>
          </a:r>
          <a:r>
            <a:rPr lang="en-US" sz="1100">
              <a:latin typeface="Sylfaen" pitchFamily="18" charset="0"/>
            </a:rPr>
            <a:t>II</a:t>
          </a:r>
          <a:r>
            <a:rPr lang="ka-GE" sz="1100">
              <a:latin typeface="Sylfaen" pitchFamily="18" charset="0"/>
            </a:rPr>
            <a:t>:</a:t>
          </a:r>
        </a:p>
        <a:p>
          <a:r>
            <a:rPr lang="ka-GE" sz="1100">
              <a:latin typeface="Sylfaen" pitchFamily="18" charset="0"/>
            </a:rPr>
            <a:t>გადამხდელმა ბანკის სესხის პროცენტით        90 000 ლარით გაზარდა საამქროს ღირებულება (განახორციელა ბანკის სესხის პროცენტის კაპიტალიზაცია)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სსკ 107-ე მუხლის მიხედვით კრედიტისათვის (სესხისათვის) გადახდილი ან/და გადასახდელი (არიცხვის მეთოდის გამოყენების მიხედვით) პროცენტები გამოიქვითვებაარა უმეტეს საქართველოს ფინანსთა მინისტრის მიერ დადგენილი წლიური პროცენტის ფარგლებში, შესაბამისი პერიოდის პროპორციულად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6" custScaleX="202212" custScaleY="355188" custLinFactNeighborX="13839" custLinFactNeighborY="-26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6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6" custScaleX="197154" custScaleY="287934" custLinFactNeighborX="14927" custLinFactNeighborY="-124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6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6" custScaleX="182228" custScaleY="278435" custLinFactNeighborX="16051" custLinFactNeighborY="-6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3" presStyleCnt="6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6" custScaleX="236588" custScaleY="243238" custLinFactNeighborX="-1909" custLinFactNeighborY="-53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4" presStyleCnt="6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4" presStyleCnt="6" custScaleX="226535" custScaleY="474630" custLinFactNeighborX="-1005" custLinFactNeighborY="-77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6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6" custScaleX="179542" custScaleY="202946" custLinFactNeighborX="-17050" custLinFactNeighborY="-124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B209F2-FADF-4B94-910A-06C15D60D75C}" type="presOf" srcId="{6EDDC9A4-7743-45A1-A47F-DDC8AA334378}" destId="{1A83EF98-3231-40EA-B1D6-7E43DBA651A6}" srcOrd="0" destOrd="0" presId="urn:microsoft.com/office/officeart/2005/8/layout/hierarchy3"/>
    <dgm:cxn modelId="{9BA26688-7D04-4BC4-AEEC-B29DD03942E3}" type="presOf" srcId="{63BFCA6C-BEC4-435A-8E72-0F4C0248610F}" destId="{EE9D00C4-D2C7-4FC5-8294-1E69973FB5F8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A6489538-7A0A-4804-B9C2-BF30239E296E}" type="presOf" srcId="{B26019DA-1E1A-421A-B2B3-3DDBF1BB3490}" destId="{326E14DF-2B2D-4D1D-9EFC-7D3AB8F651AA}" srcOrd="0" destOrd="0" presId="urn:microsoft.com/office/officeart/2005/8/layout/hierarchy3"/>
    <dgm:cxn modelId="{1A66204F-D1A8-4DDE-91D4-3DD09D2579AA}" type="presOf" srcId="{02B9985B-7F57-43D5-A167-ED9248916466}" destId="{E401CA66-E0CC-4580-B865-916053515C0A}" srcOrd="0" destOrd="0" presId="urn:microsoft.com/office/officeart/2005/8/layout/hierarchy3"/>
    <dgm:cxn modelId="{D3F25FE4-F0F4-4EDE-867E-51736693E827}" type="presOf" srcId="{6EDDC9A4-7743-45A1-A47F-DDC8AA334378}" destId="{8E010497-E5A8-4319-AFB0-5D34092ECD88}" srcOrd="1" destOrd="0" presId="urn:microsoft.com/office/officeart/2005/8/layout/hierarchy3"/>
    <dgm:cxn modelId="{509B19A4-BFFA-421F-A435-DF91E133B74C}" type="presOf" srcId="{9EB67732-3D77-4837-997C-BE4062F9BB54}" destId="{6BDC0A78-E0F7-49BA-94F7-90F8325464B0}" srcOrd="0" destOrd="0" presId="urn:microsoft.com/office/officeart/2005/8/layout/hierarchy3"/>
    <dgm:cxn modelId="{E8B86828-A8F4-4A6D-91CB-7FB0470B29EA}" type="presOf" srcId="{0864151C-55A8-4402-A51E-35DDE1DCFDCF}" destId="{CCF1B5AD-441C-4182-AB14-F5EBF8654620}" srcOrd="0" destOrd="0" presId="urn:microsoft.com/office/officeart/2005/8/layout/hierarchy3"/>
    <dgm:cxn modelId="{D58A5C64-4B4F-437D-8858-A0695A1A5499}" type="presOf" srcId="{3F98D161-D752-4940-A3D1-1ED95BE5267D}" destId="{5873286C-BE2C-4BDC-AB7F-83A56B85C3BA}" srcOrd="0" destOrd="0" presId="urn:microsoft.com/office/officeart/2005/8/layout/hierarchy3"/>
    <dgm:cxn modelId="{B218CD91-55FD-4591-A8DB-A172FC7DC273}" type="presOf" srcId="{C902E2DB-BEC8-4856-BA4D-E8C3C7168B79}" destId="{F1317D2F-48EA-4414-B8C3-0F0DF1020FA4}" srcOrd="0" destOrd="0" presId="urn:microsoft.com/office/officeart/2005/8/layout/hierarchy3"/>
    <dgm:cxn modelId="{9B5D24F8-A9A5-43B1-B9F5-AFAA1AE2E670}" type="presOf" srcId="{0864151C-55A8-4402-A51E-35DDE1DCFDCF}" destId="{F5A8D68E-1317-4112-8179-3D951CA9F398}" srcOrd="1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98F4BB68-8F78-4C7C-830E-62ACE28CB1C7}" type="presOf" srcId="{EC4D90D5-A3B7-4A12-88DA-77AA7E9A9696}" destId="{502E3CA8-4633-4F6E-956E-8D77AF0B9A67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97B9415A-5CAA-42AB-BDF6-C7EB77E71F70}" type="presOf" srcId="{B4D11B42-E642-4237-B8F9-795C9B3B1616}" destId="{5833CB5C-BF6D-4796-A3D1-E840B57D7143}" srcOrd="0" destOrd="0" presId="urn:microsoft.com/office/officeart/2005/8/layout/hierarchy3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C104715F-ECF9-4F62-AB43-18D4E7E0CC46}" type="presOf" srcId="{AF2C8C0F-097D-4DC9-9C67-E8D19F634135}" destId="{B388476D-662D-499E-86FF-075E40B9B116}" srcOrd="0" destOrd="0" presId="urn:microsoft.com/office/officeart/2005/8/layout/hierarchy3"/>
    <dgm:cxn modelId="{573BF16B-FB8B-421F-BC1E-04ADE2211C8A}" type="presOf" srcId="{E40EDAB5-D188-4812-A61A-95A9AC19C0AE}" destId="{FA81A31F-68B4-47C4-B547-823393526F80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2AE3AF2D-6B8C-4C7F-ACFD-C92BA2457D88}" type="presOf" srcId="{E40EDAB5-D188-4812-A61A-95A9AC19C0AE}" destId="{A52CC481-1E94-45D5-998C-116D7F06F43C}" srcOrd="0" destOrd="0" presId="urn:microsoft.com/office/officeart/2005/8/layout/hierarchy3"/>
    <dgm:cxn modelId="{5CCCD88B-6538-4CA6-8F44-1D0A5E10C38A}" type="presOf" srcId="{9C07E8BA-B3FD-42C8-B782-31F94FDE4DD6}" destId="{F5A3E357-4324-493A-86ED-EC691E29B736}" srcOrd="0" destOrd="0" presId="urn:microsoft.com/office/officeart/2005/8/layout/hierarchy3"/>
    <dgm:cxn modelId="{D5129C30-FD56-469A-8C2C-BF730137710A}" type="presOf" srcId="{C05276AB-2B37-4F03-80CB-53681018626A}" destId="{A0FCCB2E-3A45-460E-890E-5C6DC46BDDA2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48ABAFA-7DFF-439A-8669-A1E488BF90F2}" type="presOf" srcId="{B17FBC5D-5165-4FCF-ABDF-53E40FDCAC9F}" destId="{B083B685-1F8C-40F1-89D3-742392FF15BA}" srcOrd="0" destOrd="0" presId="urn:microsoft.com/office/officeart/2005/8/layout/hierarchy3"/>
    <dgm:cxn modelId="{DB4556CD-EEB0-4DA1-BEC6-8F357007E117}" type="presOf" srcId="{2A593D08-6C4F-4893-8DEF-0F179E451227}" destId="{06166254-EAD0-4311-851E-F063E7192781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94DD9E8D-7857-4047-9F91-4B803D094030}" type="presParOf" srcId="{B388476D-662D-499E-86FF-075E40B9B116}" destId="{4CCE11F2-9671-4C6B-9F76-2C10D78361EF}" srcOrd="0" destOrd="0" presId="urn:microsoft.com/office/officeart/2005/8/layout/hierarchy3"/>
    <dgm:cxn modelId="{AFD87EFB-7D64-440E-B8D0-38A6A74A6D47}" type="presParOf" srcId="{4CCE11F2-9671-4C6B-9F76-2C10D78361EF}" destId="{C557614C-F630-4D5F-BE22-AB9FC945D279}" srcOrd="0" destOrd="0" presId="urn:microsoft.com/office/officeart/2005/8/layout/hierarchy3"/>
    <dgm:cxn modelId="{C6A903DF-D5A8-4449-A842-1CF8232A85E0}" type="presParOf" srcId="{C557614C-F630-4D5F-BE22-AB9FC945D279}" destId="{1A83EF98-3231-40EA-B1D6-7E43DBA651A6}" srcOrd="0" destOrd="0" presId="urn:microsoft.com/office/officeart/2005/8/layout/hierarchy3"/>
    <dgm:cxn modelId="{D1F48359-79EE-4EDD-BCA9-111B1E8FD369}" type="presParOf" srcId="{C557614C-F630-4D5F-BE22-AB9FC945D279}" destId="{8E010497-E5A8-4319-AFB0-5D34092ECD88}" srcOrd="1" destOrd="0" presId="urn:microsoft.com/office/officeart/2005/8/layout/hierarchy3"/>
    <dgm:cxn modelId="{DE5AB17A-DE0A-472B-AEE4-C489A8D83BBC}" type="presParOf" srcId="{4CCE11F2-9671-4C6B-9F76-2C10D78361EF}" destId="{2F8125D7-8EE8-4988-87E0-9DDFA76BED4A}" srcOrd="1" destOrd="0" presId="urn:microsoft.com/office/officeart/2005/8/layout/hierarchy3"/>
    <dgm:cxn modelId="{D883D66F-45C2-4E28-A447-91F6DEFCA791}" type="presParOf" srcId="{2F8125D7-8EE8-4988-87E0-9DDFA76BED4A}" destId="{E401CA66-E0CC-4580-B865-916053515C0A}" srcOrd="0" destOrd="0" presId="urn:microsoft.com/office/officeart/2005/8/layout/hierarchy3"/>
    <dgm:cxn modelId="{DF79599B-7612-4460-A26E-7FCB0F2B2721}" type="presParOf" srcId="{2F8125D7-8EE8-4988-87E0-9DDFA76BED4A}" destId="{502E3CA8-4633-4F6E-956E-8D77AF0B9A67}" srcOrd="1" destOrd="0" presId="urn:microsoft.com/office/officeart/2005/8/layout/hierarchy3"/>
    <dgm:cxn modelId="{BADEF8DB-CC94-4B18-BFF7-6B5BD743178F}" type="presParOf" srcId="{2F8125D7-8EE8-4988-87E0-9DDFA76BED4A}" destId="{F1317D2F-48EA-4414-B8C3-0F0DF1020FA4}" srcOrd="2" destOrd="0" presId="urn:microsoft.com/office/officeart/2005/8/layout/hierarchy3"/>
    <dgm:cxn modelId="{EC4642E5-43E6-4FF1-8483-ED23C0691F6B}" type="presParOf" srcId="{2F8125D7-8EE8-4988-87E0-9DDFA76BED4A}" destId="{06166254-EAD0-4311-851E-F063E7192781}" srcOrd="3" destOrd="0" presId="urn:microsoft.com/office/officeart/2005/8/layout/hierarchy3"/>
    <dgm:cxn modelId="{C820493A-0DB1-453A-B22C-AC90E4C04029}" type="presParOf" srcId="{2F8125D7-8EE8-4988-87E0-9DDFA76BED4A}" destId="{6BDC0A78-E0F7-49BA-94F7-90F8325464B0}" srcOrd="4" destOrd="0" presId="urn:microsoft.com/office/officeart/2005/8/layout/hierarchy3"/>
    <dgm:cxn modelId="{68C74864-0584-48DF-9E65-7DFCC21E4397}" type="presParOf" srcId="{2F8125D7-8EE8-4988-87E0-9DDFA76BED4A}" destId="{A0FCCB2E-3A45-460E-890E-5C6DC46BDDA2}" srcOrd="5" destOrd="0" presId="urn:microsoft.com/office/officeart/2005/8/layout/hierarchy3"/>
    <dgm:cxn modelId="{2AE81ECC-24D2-49C3-89CF-E959553F6B69}" type="presParOf" srcId="{B388476D-662D-499E-86FF-075E40B9B116}" destId="{2FB5DE3C-867A-44B8-89CD-BAF599600FD9}" srcOrd="1" destOrd="0" presId="urn:microsoft.com/office/officeart/2005/8/layout/hierarchy3"/>
    <dgm:cxn modelId="{28715182-8A46-41C9-9346-665342098CD9}" type="presParOf" srcId="{2FB5DE3C-867A-44B8-89CD-BAF599600FD9}" destId="{9DE9E381-FFCB-4D13-B9AA-C091B657A585}" srcOrd="0" destOrd="0" presId="urn:microsoft.com/office/officeart/2005/8/layout/hierarchy3"/>
    <dgm:cxn modelId="{4D94DBB4-0E77-44CA-B865-6B3F1500ED4F}" type="presParOf" srcId="{9DE9E381-FFCB-4D13-B9AA-C091B657A585}" destId="{CCF1B5AD-441C-4182-AB14-F5EBF8654620}" srcOrd="0" destOrd="0" presId="urn:microsoft.com/office/officeart/2005/8/layout/hierarchy3"/>
    <dgm:cxn modelId="{DC0B894B-AAF8-4844-B148-423EC91DA646}" type="presParOf" srcId="{9DE9E381-FFCB-4D13-B9AA-C091B657A585}" destId="{F5A8D68E-1317-4112-8179-3D951CA9F398}" srcOrd="1" destOrd="0" presId="urn:microsoft.com/office/officeart/2005/8/layout/hierarchy3"/>
    <dgm:cxn modelId="{CE835583-555C-4DF4-838B-C0D3FDC0074B}" type="presParOf" srcId="{2FB5DE3C-867A-44B8-89CD-BAF599600FD9}" destId="{25491ECF-4A66-42F1-8AA3-00082B855958}" srcOrd="1" destOrd="0" presId="urn:microsoft.com/office/officeart/2005/8/layout/hierarchy3"/>
    <dgm:cxn modelId="{5E4F6C27-03D0-40B8-B087-CE835F32DB67}" type="presParOf" srcId="{25491ECF-4A66-42F1-8AA3-00082B855958}" destId="{5873286C-BE2C-4BDC-AB7F-83A56B85C3BA}" srcOrd="0" destOrd="0" presId="urn:microsoft.com/office/officeart/2005/8/layout/hierarchy3"/>
    <dgm:cxn modelId="{FA511F34-3079-4E8E-AF15-8787F8BC770B}" type="presParOf" srcId="{25491ECF-4A66-42F1-8AA3-00082B855958}" destId="{F5A3E357-4324-493A-86ED-EC691E29B736}" srcOrd="1" destOrd="0" presId="urn:microsoft.com/office/officeart/2005/8/layout/hierarchy3"/>
    <dgm:cxn modelId="{98674163-2FE0-4BA4-9C44-862C0E474CC6}" type="presParOf" srcId="{25491ECF-4A66-42F1-8AA3-00082B855958}" destId="{B083B685-1F8C-40F1-89D3-742392FF15BA}" srcOrd="2" destOrd="0" presId="urn:microsoft.com/office/officeart/2005/8/layout/hierarchy3"/>
    <dgm:cxn modelId="{13EB6B1A-5B8A-428C-8215-7B50BA0E066A}" type="presParOf" srcId="{25491ECF-4A66-42F1-8AA3-00082B855958}" destId="{326E14DF-2B2D-4D1D-9EFC-7D3AB8F651AA}" srcOrd="3" destOrd="0" presId="urn:microsoft.com/office/officeart/2005/8/layout/hierarchy3"/>
    <dgm:cxn modelId="{676001A0-C2C7-4B32-A68C-E43C9D7741CA}" type="presParOf" srcId="{B388476D-662D-499E-86FF-075E40B9B116}" destId="{B5F88AEE-451A-4C5A-8D98-001CB6888185}" srcOrd="2" destOrd="0" presId="urn:microsoft.com/office/officeart/2005/8/layout/hierarchy3"/>
    <dgm:cxn modelId="{0070011A-CA78-4B6D-A618-B0FE87204637}" type="presParOf" srcId="{B5F88AEE-451A-4C5A-8D98-001CB6888185}" destId="{CE3720F1-9340-4685-87FD-D50F37CC033B}" srcOrd="0" destOrd="0" presId="urn:microsoft.com/office/officeart/2005/8/layout/hierarchy3"/>
    <dgm:cxn modelId="{4BDADAEC-4757-4F1C-AF60-11E8CB28CF23}" type="presParOf" srcId="{CE3720F1-9340-4685-87FD-D50F37CC033B}" destId="{A52CC481-1E94-45D5-998C-116D7F06F43C}" srcOrd="0" destOrd="0" presId="urn:microsoft.com/office/officeart/2005/8/layout/hierarchy3"/>
    <dgm:cxn modelId="{2D05D9F0-D4E6-4B55-94E5-82E342F9F1CD}" type="presParOf" srcId="{CE3720F1-9340-4685-87FD-D50F37CC033B}" destId="{FA81A31F-68B4-47C4-B547-823393526F80}" srcOrd="1" destOrd="0" presId="urn:microsoft.com/office/officeart/2005/8/layout/hierarchy3"/>
    <dgm:cxn modelId="{C4A4E6E2-E776-49E3-9D9C-FFC9871D5F18}" type="presParOf" srcId="{B5F88AEE-451A-4C5A-8D98-001CB6888185}" destId="{13D5A3C6-CE80-425E-9D29-FCD90E15EBB7}" srcOrd="1" destOrd="0" presId="urn:microsoft.com/office/officeart/2005/8/layout/hierarchy3"/>
    <dgm:cxn modelId="{00C221CB-2F49-4A41-8DF9-CF4BB3D7E46F}" type="presParOf" srcId="{13D5A3C6-CE80-425E-9D29-FCD90E15EBB7}" destId="{EE9D00C4-D2C7-4FC5-8294-1E69973FB5F8}" srcOrd="0" destOrd="0" presId="urn:microsoft.com/office/officeart/2005/8/layout/hierarchy3"/>
    <dgm:cxn modelId="{242C7BEF-CD70-46F1-AD51-DB1C3E78A8F2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35502" cy="1137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7900"/>
              </a:lnTo>
              <a:lnTo>
                <a:pt x="135502" y="1137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45431" y="590037"/>
          <a:ext cx="1917928" cy="2105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ლუდის მწარმოებელმა ლუდის ჩამოსასხმელი საამქროს მშენებლობისათვის აღებულ 300 000 ლარის სესხზე საანგარიშო პერიოდში გადაიხადა (დაარიცხა) ბანკის პროცენტის სახით 90 000 ლარი (30%)</a:t>
          </a:r>
          <a:endParaRPr lang="en-US" sz="1100" b="0" kern="1200">
            <a:latin typeface="Sylfaen" pitchFamily="18" charset="0"/>
          </a:endParaRPr>
        </a:p>
      </dsp:txBody>
      <dsp:txXfrm>
        <a:off x="601605" y="646211"/>
        <a:ext cx="1805580" cy="1993193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45821" cy="3276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6039"/>
              </a:lnTo>
              <a:lnTo>
                <a:pt x="145821" y="3276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55750" y="2927516"/>
          <a:ext cx="1869954" cy="1706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</a:t>
          </a:r>
          <a:r>
            <a:rPr lang="en-US" sz="1100" kern="1200">
              <a:latin typeface="Sylfaen" pitchFamily="18" charset="0"/>
            </a:rPr>
            <a:t>I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გადამხდელმა ამ საანგარიშო წლის ერთობლივი შემოსავლიდან გამოქვითა ბანკის სესხის პროცენტის სახით 90 000 ლარი</a:t>
          </a:r>
        </a:p>
      </dsp:txBody>
      <dsp:txXfrm>
        <a:off x="605742" y="2977508"/>
        <a:ext cx="1769970" cy="1606878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56482" cy="5137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7292"/>
              </a:lnTo>
              <a:lnTo>
                <a:pt x="156482" y="51372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66411" y="4816924"/>
          <a:ext cx="1728385" cy="16505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</a:t>
          </a:r>
          <a:r>
            <a:rPr lang="en-US" sz="1100" kern="1200">
              <a:latin typeface="Sylfaen" pitchFamily="18" charset="0"/>
            </a:rPr>
            <a:t>II</a:t>
          </a:r>
          <a:r>
            <a:rPr lang="ka-GE" sz="1100" kern="1200">
              <a:latin typeface="Sylfae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გადამხდელმა ბანკის სესხის პროცენტით        90 000 ლარით გაზარდა საამქროს ღირებულება (განახორციელა ბანკის სესხის პროცენტის კაპიტალიზაცია)</a:t>
          </a:r>
          <a:endParaRPr lang="en-US" sz="1100" kern="1200">
            <a:latin typeface="Sylfaen" pitchFamily="18" charset="0"/>
          </a:endParaRPr>
        </a:p>
      </dsp:txBody>
      <dsp:txXfrm>
        <a:off x="614754" y="4865267"/>
        <a:ext cx="1631699" cy="1553866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240164" cy="931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1458"/>
              </a:lnTo>
              <a:lnTo>
                <a:pt x="240164" y="931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75133" y="704512"/>
          <a:ext cx="2243976" cy="1441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სსკ 148-ე მუხლის მიხედვით აქტივების ღირებულებაში შეიტანება ხარჯები, რომლებიც ზრდის მის ღირებულებას, გარდა ისეთი ხარჯებისაა, რომელთა  გამოქვითვის უფლება აქვს გადამხდელს 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917365" y="746744"/>
        <a:ext cx="2159512" cy="1357442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248738" cy="3193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3184"/>
              </a:lnTo>
              <a:lnTo>
                <a:pt x="248738" y="31931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83707" y="2280396"/>
          <a:ext cx="2148626" cy="2813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სსკ 107-ე მუხლის მიხედვით კრედიტისათვის (სესხისათვის) გადახდილი ან/და გადასახდელი (არიცხვის მეთოდის გამოყენების მიხედვით) პროცენტები გამოიქვითვებაარა უმეტეს საქართველოს ფინანსთა მინისტრის მიერ დადგენილი წლიური პროცენტის ფარგლებში, შესაბამისი პერიოდის პროპორციულად</a:t>
          </a:r>
          <a:endParaRPr lang="en-US" sz="1100" kern="1200">
            <a:latin typeface="Sylfaen" pitchFamily="18" charset="0"/>
          </a:endParaRPr>
        </a:p>
      </dsp:txBody>
      <dsp:txXfrm>
        <a:off x="2946638" y="2343327"/>
        <a:ext cx="2022764" cy="2687727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80234" cy="769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838"/>
              </a:lnTo>
              <a:lnTo>
                <a:pt x="180234" y="769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35693" y="670539"/>
          <a:ext cx="1702909" cy="12030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გადამხდელის ქმედებაში საგადასახადო სამართალდარღვევა არ იკვეთება </a:t>
          </a:r>
          <a:endParaRPr lang="en-US" sz="1100" b="0" i="0" kern="1200">
            <a:latin typeface="Sylfaen" pitchFamily="18" charset="0"/>
          </a:endParaRPr>
        </a:p>
      </dsp:txBody>
      <dsp:txXfrm>
        <a:off x="5670929" y="705775"/>
        <a:ext cx="1632437" cy="1132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B31E-436A-498B-A89C-94888B1D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4</cp:revision>
  <cp:lastPrinted>2012-07-19T14:27:00Z</cp:lastPrinted>
  <dcterms:created xsi:type="dcterms:W3CDTF">2013-09-15T06:59:00Z</dcterms:created>
  <dcterms:modified xsi:type="dcterms:W3CDTF">2013-09-15T07:00:00Z</dcterms:modified>
</cp:coreProperties>
</file>